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37" w:type="dxa"/>
        <w:shd w:val="clear" w:color="auto" w:fill="CCE29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27"/>
        <w:gridCol w:w="1409"/>
        <w:gridCol w:w="1431"/>
        <w:gridCol w:w="421"/>
        <w:gridCol w:w="1552"/>
        <w:gridCol w:w="421"/>
        <w:gridCol w:w="820"/>
        <w:gridCol w:w="391"/>
        <w:gridCol w:w="1696"/>
        <w:gridCol w:w="636"/>
      </w:tblGrid>
      <w:tr w:rsidR="00DD4217" w:rsidRPr="00A432E1" w14:paraId="7CF1CDDC" w14:textId="77777777" w:rsidTr="00DD4217">
        <w:trPr>
          <w:trHeight w:val="881"/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</w:tcPr>
          <w:p w14:paraId="4C3086CA" w14:textId="77777777" w:rsidR="00DD4217" w:rsidRPr="00A432E1" w:rsidRDefault="00DD4217" w:rsidP="005922B1">
            <w:pPr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0B5CA9FC" w14:textId="61790A28" w:rsidR="00DD4217" w:rsidRPr="00A432E1" w:rsidRDefault="00DD4217" w:rsidP="00DD4217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b/>
                <w:bCs/>
              </w:rPr>
              <w:t>Óbuda University</w:t>
            </w:r>
            <w:r>
              <w:rPr>
                <w:b/>
                <w:bCs/>
              </w:rPr>
              <w:br/>
              <w:t xml:space="preserve">Keleti </w:t>
            </w:r>
            <w:proofErr w:type="spellStart"/>
            <w:r>
              <w:rPr>
                <w:b/>
                <w:bCs/>
              </w:rPr>
              <w:t>Faculty</w:t>
            </w:r>
            <w:proofErr w:type="spellEnd"/>
            <w:r>
              <w:rPr>
                <w:b/>
                <w:bCs/>
              </w:rPr>
              <w:t xml:space="preserve"> of Business and Management</w:t>
            </w:r>
          </w:p>
        </w:tc>
      </w:tr>
      <w:tr w:rsidR="00711CA0" w:rsidRPr="00A432E1" w14:paraId="1CF566BA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</w:tcPr>
          <w:p w14:paraId="4051714C" w14:textId="7B1003EE" w:rsidR="005922B1" w:rsidRPr="00A432E1" w:rsidRDefault="005922B1" w:rsidP="005922B1">
            <w:pPr>
              <w:jc w:val="right"/>
              <w:rPr>
                <w:b/>
                <w:bCs/>
                <w:lang w:val="en-GB"/>
              </w:rPr>
            </w:pPr>
            <w:r w:rsidRPr="00A432E1">
              <w:rPr>
                <w:b/>
                <w:bCs/>
                <w:lang w:val="en-GB"/>
              </w:rPr>
              <w:t xml:space="preserve">Unit of </w:t>
            </w:r>
            <w:r w:rsidR="00B5124B" w:rsidRPr="00A432E1">
              <w:rPr>
                <w:b/>
                <w:bCs/>
                <w:lang w:val="en-GB"/>
              </w:rPr>
              <w:t>S</w:t>
            </w:r>
            <w:r w:rsidRPr="00A432E1">
              <w:rPr>
                <w:b/>
                <w:bCs/>
                <w:lang w:val="en-GB"/>
              </w:rPr>
              <w:t>tudy: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14:paraId="0F74383E" w14:textId="3AA263AE" w:rsidR="005922B1" w:rsidRPr="00A432E1" w:rsidRDefault="00291207" w:rsidP="005922B1">
            <w:pPr>
              <w:rPr>
                <w:lang w:val="en-GB"/>
              </w:rPr>
            </w:pPr>
            <w:r>
              <w:rPr>
                <w:lang w:val="en-GB"/>
              </w:rPr>
              <w:t>Statistics I</w:t>
            </w:r>
          </w:p>
        </w:tc>
        <w:tc>
          <w:tcPr>
            <w:tcW w:w="0" w:type="auto"/>
            <w:gridSpan w:val="2"/>
            <w:shd w:val="clear" w:color="auto" w:fill="CCE29A"/>
            <w:vAlign w:val="center"/>
          </w:tcPr>
          <w:p w14:paraId="789E6EDF" w14:textId="0CE2DD93" w:rsidR="005922B1" w:rsidRPr="00A432E1" w:rsidRDefault="005922B1" w:rsidP="005922B1">
            <w:pPr>
              <w:jc w:val="right"/>
              <w:rPr>
                <w:b/>
                <w:bCs/>
                <w:lang w:val="en-GB"/>
              </w:rPr>
            </w:pPr>
            <w:r w:rsidRPr="00A432E1">
              <w:rPr>
                <w:b/>
                <w:bCs/>
                <w:lang w:val="en-GB"/>
              </w:rPr>
              <w:t>Subject code: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711064BC" w14:textId="5970D5AE" w:rsidR="005922B1" w:rsidRPr="00DD4217" w:rsidRDefault="00DD4217" w:rsidP="005922B1">
            <w:pPr>
              <w:rPr>
                <w:color w:val="000000"/>
              </w:rPr>
            </w:pPr>
            <w:r>
              <w:rPr>
                <w:color w:val="000000"/>
              </w:rPr>
              <w:t>GVXST1ABNE</w:t>
            </w:r>
          </w:p>
        </w:tc>
      </w:tr>
      <w:tr w:rsidR="00711CA0" w:rsidRPr="00A432E1" w14:paraId="0B38DB10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D72ACBD" w14:textId="2AF9BFC7" w:rsidR="005922B1" w:rsidRPr="00A432E1" w:rsidRDefault="005922B1" w:rsidP="005922B1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 xml:space="preserve">Institute: 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035986DC" w14:textId="6AC12776" w:rsidR="005922B1" w:rsidRPr="00A432E1" w:rsidRDefault="00DD4217" w:rsidP="005922B1">
            <w:pPr>
              <w:rPr>
                <w:sz w:val="24"/>
                <w:szCs w:val="24"/>
                <w:lang w:val="en-GB"/>
              </w:rPr>
            </w:pPr>
            <w:r>
              <w:rPr>
                <w:lang w:val="en-GB"/>
              </w:rPr>
              <w:t>Department</w:t>
            </w:r>
            <w:r w:rsidR="00711CA0" w:rsidRPr="00A432E1">
              <w:rPr>
                <w:lang w:val="en-GB"/>
              </w:rPr>
              <w:t xml:space="preserve"> of Enterprise Management</w:t>
            </w:r>
            <w:r w:rsidR="005922B1" w:rsidRPr="00A432E1">
              <w:rPr>
                <w:lang w:val="en-GB"/>
              </w:rPr>
              <w:t xml:space="preserve"> (1084 Budapest, </w:t>
            </w:r>
            <w:proofErr w:type="spellStart"/>
            <w:r w:rsidR="005922B1" w:rsidRPr="00A432E1">
              <w:rPr>
                <w:lang w:val="en-GB"/>
              </w:rPr>
              <w:t>Tavaszmező</w:t>
            </w:r>
            <w:proofErr w:type="spellEnd"/>
            <w:r w:rsidR="005922B1" w:rsidRPr="00A432E1">
              <w:rPr>
                <w:lang w:val="en-GB"/>
              </w:rPr>
              <w:t xml:space="preserve"> </w:t>
            </w:r>
            <w:r w:rsidR="00711CA0" w:rsidRPr="00A432E1">
              <w:rPr>
                <w:lang w:val="en-GB"/>
              </w:rPr>
              <w:t>str</w:t>
            </w:r>
            <w:r w:rsidR="005922B1" w:rsidRPr="00A432E1">
              <w:rPr>
                <w:lang w:val="en-GB"/>
              </w:rPr>
              <w:t xml:space="preserve">. 15-17.) </w:t>
            </w:r>
          </w:p>
        </w:tc>
        <w:tc>
          <w:tcPr>
            <w:tcW w:w="0" w:type="auto"/>
            <w:gridSpan w:val="2"/>
            <w:shd w:val="clear" w:color="auto" w:fill="CCE29A"/>
            <w:vAlign w:val="center"/>
            <w:hideMark/>
          </w:tcPr>
          <w:p w14:paraId="1C97623E" w14:textId="1C85825A" w:rsidR="005922B1" w:rsidRPr="00A432E1" w:rsidRDefault="005922B1" w:rsidP="005922B1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 xml:space="preserve">Credits: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6A0A077" w14:textId="3E8CC1E6" w:rsidR="005922B1" w:rsidRPr="00A432E1" w:rsidRDefault="009A57E3" w:rsidP="005922B1">
            <w:pPr>
              <w:rPr>
                <w:sz w:val="24"/>
                <w:szCs w:val="24"/>
                <w:lang w:val="en-GB"/>
              </w:rPr>
            </w:pPr>
            <w:r w:rsidRPr="00A432E1">
              <w:rPr>
                <w:sz w:val="24"/>
                <w:szCs w:val="24"/>
                <w:lang w:val="en-GB"/>
              </w:rPr>
              <w:t>3</w:t>
            </w:r>
          </w:p>
        </w:tc>
      </w:tr>
      <w:tr w:rsidR="003730DF" w:rsidRPr="00A432E1" w14:paraId="1D608BBC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1F38A299" w14:textId="6FB022F8" w:rsidR="005922B1" w:rsidRPr="00A432E1" w:rsidRDefault="005922B1" w:rsidP="005922B1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 xml:space="preserve">Course type: 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5AC27A62" w14:textId="789302EF" w:rsidR="005922B1" w:rsidRPr="00A432E1" w:rsidRDefault="003730DF" w:rsidP="005922B1">
            <w:pPr>
              <w:rPr>
                <w:sz w:val="24"/>
                <w:szCs w:val="24"/>
                <w:lang w:val="en-GB"/>
              </w:rPr>
            </w:pPr>
            <w:r w:rsidRPr="00A432E1">
              <w:rPr>
                <w:sz w:val="24"/>
                <w:szCs w:val="24"/>
                <w:lang w:val="en-GB"/>
              </w:rPr>
              <w:t>Full-time</w:t>
            </w:r>
          </w:p>
        </w:tc>
        <w:tc>
          <w:tcPr>
            <w:tcW w:w="0" w:type="auto"/>
            <w:gridSpan w:val="2"/>
            <w:shd w:val="clear" w:color="auto" w:fill="CCE29A"/>
            <w:vAlign w:val="center"/>
            <w:hideMark/>
          </w:tcPr>
          <w:p w14:paraId="71DDE148" w14:textId="6EABCBBE" w:rsidR="005922B1" w:rsidRPr="00A432E1" w:rsidRDefault="005922B1" w:rsidP="005922B1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 xml:space="preserve">Language: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81885A2" w14:textId="49E0278F" w:rsidR="005922B1" w:rsidRPr="00A432E1" w:rsidRDefault="00711CA0" w:rsidP="005922B1">
            <w:pPr>
              <w:rPr>
                <w:sz w:val="24"/>
                <w:szCs w:val="24"/>
                <w:lang w:val="en-GB"/>
              </w:rPr>
            </w:pPr>
            <w:r w:rsidRPr="00A432E1">
              <w:rPr>
                <w:lang w:val="en-GB"/>
              </w:rPr>
              <w:t>English</w:t>
            </w:r>
          </w:p>
        </w:tc>
        <w:tc>
          <w:tcPr>
            <w:tcW w:w="0" w:type="auto"/>
            <w:shd w:val="clear" w:color="auto" w:fill="CCE29A"/>
            <w:vAlign w:val="center"/>
            <w:hideMark/>
          </w:tcPr>
          <w:p w14:paraId="0FCB8912" w14:textId="4E6A561D" w:rsidR="005922B1" w:rsidRPr="00A432E1" w:rsidRDefault="005922B1" w:rsidP="005922B1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Term: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563CA0" w14:textId="3DF4804D" w:rsidR="005922B1" w:rsidRPr="00A432E1" w:rsidRDefault="00291207" w:rsidP="005922B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Fall</w:t>
            </w:r>
          </w:p>
        </w:tc>
      </w:tr>
      <w:tr w:rsidR="0088718B" w:rsidRPr="00A432E1" w14:paraId="1AD0D255" w14:textId="77777777" w:rsidTr="000267C6">
        <w:trPr>
          <w:trHeight w:val="450"/>
          <w:tblCellSpacing w:w="37" w:type="dxa"/>
          <w:jc w:val="center"/>
        </w:trPr>
        <w:tc>
          <w:tcPr>
            <w:tcW w:w="0" w:type="auto"/>
            <w:gridSpan w:val="10"/>
            <w:shd w:val="clear" w:color="auto" w:fill="CCE29A"/>
            <w:vAlign w:val="center"/>
            <w:hideMark/>
          </w:tcPr>
          <w:p w14:paraId="1BDD7B53" w14:textId="77777777" w:rsidR="0088718B" w:rsidRPr="00A432E1" w:rsidRDefault="0088718B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 </w:t>
            </w:r>
          </w:p>
        </w:tc>
      </w:tr>
      <w:tr w:rsidR="00711CA0" w:rsidRPr="00A432E1" w14:paraId="1A50DFF0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5821BCAD" w14:textId="69F954AA" w:rsidR="0088718B" w:rsidRPr="00A432E1" w:rsidRDefault="005922B1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Major</w:t>
            </w:r>
            <w:r w:rsidR="0088718B" w:rsidRPr="00A432E1">
              <w:rPr>
                <w:b/>
                <w:bCs/>
                <w:lang w:val="en-GB"/>
              </w:rPr>
              <w:t xml:space="preserve">: 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14:paraId="215022B9" w14:textId="43FE54CE" w:rsidR="0088718B" w:rsidRPr="00A432E1" w:rsidRDefault="00DD421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Technical management BSc.</w:t>
            </w:r>
          </w:p>
        </w:tc>
      </w:tr>
      <w:tr w:rsidR="0088718B" w:rsidRPr="00A432E1" w14:paraId="7432246D" w14:textId="77777777" w:rsidTr="000267C6">
        <w:trPr>
          <w:trHeight w:val="450"/>
          <w:tblCellSpacing w:w="37" w:type="dxa"/>
          <w:jc w:val="center"/>
        </w:trPr>
        <w:tc>
          <w:tcPr>
            <w:tcW w:w="0" w:type="auto"/>
            <w:gridSpan w:val="10"/>
            <w:shd w:val="clear" w:color="auto" w:fill="CCE29A"/>
            <w:vAlign w:val="center"/>
            <w:hideMark/>
          </w:tcPr>
          <w:p w14:paraId="2BABADAA" w14:textId="77777777" w:rsidR="0088718B" w:rsidRPr="00A432E1" w:rsidRDefault="0088718B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 </w:t>
            </w:r>
          </w:p>
        </w:tc>
      </w:tr>
      <w:tr w:rsidR="00711CA0" w:rsidRPr="00A432E1" w14:paraId="214F6E0D" w14:textId="77777777" w:rsidTr="00DD4217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42AC695A" w14:textId="6C23527D" w:rsidR="0088718B" w:rsidRPr="00A432E1" w:rsidRDefault="000A279E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Lecturer-in-charge</w:t>
            </w:r>
            <w:r w:rsidR="0088718B" w:rsidRPr="00A432E1">
              <w:rPr>
                <w:b/>
                <w:bCs/>
                <w:lang w:val="en-GB"/>
              </w:rPr>
              <w:t xml:space="preserve">: 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6B526FFE" w14:textId="2BE928FE" w:rsidR="0088718B" w:rsidRPr="00A432E1" w:rsidRDefault="003730DF">
            <w:pPr>
              <w:rPr>
                <w:sz w:val="24"/>
                <w:szCs w:val="24"/>
                <w:lang w:val="en-GB"/>
              </w:rPr>
            </w:pPr>
            <w:r w:rsidRPr="00A432E1">
              <w:rPr>
                <w:sz w:val="24"/>
                <w:szCs w:val="24"/>
                <w:lang w:val="en-GB"/>
              </w:rPr>
              <w:t>Viktor Nagy, Ph.D.</w:t>
            </w:r>
          </w:p>
        </w:tc>
        <w:tc>
          <w:tcPr>
            <w:tcW w:w="0" w:type="auto"/>
            <w:gridSpan w:val="2"/>
            <w:shd w:val="clear" w:color="auto" w:fill="CCE29A"/>
            <w:vAlign w:val="center"/>
            <w:hideMark/>
          </w:tcPr>
          <w:p w14:paraId="549F5C5B" w14:textId="635A18C8" w:rsidR="0088718B" w:rsidRPr="00A432E1" w:rsidRDefault="005922B1" w:rsidP="00533867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Lecturer(s):</w:t>
            </w:r>
            <w:r w:rsidR="0088718B" w:rsidRPr="00A432E1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3419" w:type="dxa"/>
            <w:gridSpan w:val="4"/>
            <w:shd w:val="clear" w:color="auto" w:fill="FFFFFF"/>
            <w:vAlign w:val="center"/>
            <w:hideMark/>
          </w:tcPr>
          <w:p w14:paraId="00A6FD48" w14:textId="08E5E975" w:rsidR="0088718B" w:rsidRPr="00A432E1" w:rsidRDefault="003730DF">
            <w:pPr>
              <w:rPr>
                <w:sz w:val="24"/>
                <w:szCs w:val="24"/>
                <w:lang w:val="en-GB"/>
              </w:rPr>
            </w:pPr>
            <w:r w:rsidRPr="00A432E1">
              <w:rPr>
                <w:sz w:val="24"/>
                <w:szCs w:val="24"/>
                <w:lang w:val="en-GB"/>
              </w:rPr>
              <w:t>Viktor Nagy, Ph.D.</w:t>
            </w:r>
          </w:p>
        </w:tc>
      </w:tr>
      <w:tr w:rsidR="005922B1" w:rsidRPr="00A432E1" w14:paraId="491F7EB7" w14:textId="77777777" w:rsidTr="000267C6">
        <w:trPr>
          <w:trHeight w:val="450"/>
          <w:tblCellSpacing w:w="37" w:type="dxa"/>
          <w:jc w:val="center"/>
        </w:trPr>
        <w:tc>
          <w:tcPr>
            <w:tcW w:w="0" w:type="auto"/>
            <w:gridSpan w:val="10"/>
            <w:shd w:val="clear" w:color="auto" w:fill="CCE29A"/>
            <w:vAlign w:val="center"/>
            <w:hideMark/>
          </w:tcPr>
          <w:p w14:paraId="7F3DB9B8" w14:textId="77777777" w:rsidR="005922B1" w:rsidRPr="00A432E1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 </w:t>
            </w:r>
          </w:p>
        </w:tc>
      </w:tr>
      <w:tr w:rsidR="00711CA0" w:rsidRPr="00A432E1" w14:paraId="37C15EE5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584CFCBC" w14:textId="029B3247" w:rsidR="005922B1" w:rsidRPr="00A432E1" w:rsidRDefault="005922B1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 xml:space="preserve">Prerequisites: 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14:paraId="1C88925D" w14:textId="02D6ED32" w:rsidR="005922B1" w:rsidRPr="00A432E1" w:rsidRDefault="005922B1">
            <w:pPr>
              <w:rPr>
                <w:sz w:val="24"/>
                <w:szCs w:val="24"/>
                <w:lang w:val="en-GB"/>
              </w:rPr>
            </w:pPr>
          </w:p>
        </w:tc>
      </w:tr>
      <w:tr w:rsidR="00DD4217" w:rsidRPr="00A432E1" w14:paraId="570B9F9E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10623862" w14:textId="4B822324" w:rsidR="005922B1" w:rsidRPr="00A432E1" w:rsidRDefault="005922B1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No. of sessions</w:t>
            </w:r>
            <w:r w:rsidRPr="00A432E1">
              <w:rPr>
                <w:b/>
                <w:bCs/>
                <w:lang w:val="en-GB"/>
              </w:rPr>
              <w:br/>
              <w:t xml:space="preserve"> per week/term: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19BC21" w14:textId="33D383BF" w:rsidR="005922B1" w:rsidRPr="00A432E1" w:rsidRDefault="003730DF">
            <w:pPr>
              <w:rPr>
                <w:sz w:val="24"/>
                <w:szCs w:val="24"/>
                <w:lang w:val="en-GB"/>
              </w:rPr>
            </w:pPr>
            <w:r w:rsidRPr="00A432E1">
              <w:rPr>
                <w:sz w:val="24"/>
                <w:szCs w:val="24"/>
                <w:lang w:val="en-GB"/>
              </w:rPr>
              <w:t>Weekly</w:t>
            </w:r>
          </w:p>
        </w:tc>
        <w:tc>
          <w:tcPr>
            <w:tcW w:w="0" w:type="auto"/>
            <w:shd w:val="clear" w:color="auto" w:fill="CCE29A"/>
            <w:vAlign w:val="center"/>
            <w:hideMark/>
          </w:tcPr>
          <w:p w14:paraId="2D52FE21" w14:textId="3F837D1D" w:rsidR="005922B1" w:rsidRPr="00A432E1" w:rsidRDefault="005922B1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 xml:space="preserve">Lecture: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EBFE0B" w14:textId="33AC57DC" w:rsidR="005922B1" w:rsidRPr="00A432E1" w:rsidRDefault="003730DF">
            <w:pPr>
              <w:rPr>
                <w:sz w:val="24"/>
                <w:szCs w:val="24"/>
                <w:lang w:val="en-GB"/>
              </w:rPr>
            </w:pPr>
            <w:r w:rsidRPr="00A432E1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  <w:shd w:val="clear" w:color="auto" w:fill="CCE29A"/>
            <w:vAlign w:val="center"/>
            <w:hideMark/>
          </w:tcPr>
          <w:p w14:paraId="6F7DE5D4" w14:textId="51DE6A63" w:rsidR="005922B1" w:rsidRPr="00A432E1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Seminar</w:t>
            </w:r>
            <w:r w:rsidR="005922B1" w:rsidRPr="00A432E1">
              <w:rPr>
                <w:b/>
                <w:bCs/>
                <w:lang w:val="en-GB"/>
              </w:rPr>
              <w:t xml:space="preserve">: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E6DD31" w14:textId="516CA9D5" w:rsidR="005922B1" w:rsidRPr="00A432E1" w:rsidRDefault="009A57E3">
            <w:pPr>
              <w:rPr>
                <w:sz w:val="24"/>
                <w:szCs w:val="24"/>
                <w:lang w:val="en-GB"/>
              </w:rPr>
            </w:pPr>
            <w:r w:rsidRPr="00A432E1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0" w:type="auto"/>
            <w:shd w:val="clear" w:color="auto" w:fill="CCE29A"/>
            <w:vAlign w:val="center"/>
            <w:hideMark/>
          </w:tcPr>
          <w:p w14:paraId="72C07F48" w14:textId="7FEEC9EE" w:rsidR="005922B1" w:rsidRPr="00A432E1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Lab</w:t>
            </w:r>
            <w:r w:rsidR="005922B1" w:rsidRPr="00A432E1">
              <w:rPr>
                <w:b/>
                <w:bCs/>
                <w:lang w:val="en-GB"/>
              </w:rPr>
              <w:t xml:space="preserve">: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DFEF3B" w14:textId="77777777" w:rsidR="005922B1" w:rsidRPr="00A432E1" w:rsidRDefault="005922B1">
            <w:pPr>
              <w:rPr>
                <w:sz w:val="24"/>
                <w:szCs w:val="24"/>
                <w:lang w:val="en-GB"/>
              </w:rPr>
            </w:pPr>
            <w:r w:rsidRPr="00A432E1">
              <w:rPr>
                <w:lang w:val="en-GB"/>
              </w:rPr>
              <w:t>0</w:t>
            </w:r>
          </w:p>
        </w:tc>
        <w:tc>
          <w:tcPr>
            <w:tcW w:w="0" w:type="auto"/>
            <w:shd w:val="clear" w:color="auto" w:fill="CCE29A"/>
            <w:vAlign w:val="center"/>
            <w:hideMark/>
          </w:tcPr>
          <w:p w14:paraId="72E990DC" w14:textId="07EAAFCB" w:rsidR="005922B1" w:rsidRPr="00A432E1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Consultation</w:t>
            </w:r>
            <w:r w:rsidR="005922B1" w:rsidRPr="00A432E1">
              <w:rPr>
                <w:b/>
                <w:bCs/>
                <w:lang w:val="en-GB"/>
              </w:rPr>
              <w:t xml:space="preserve">: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672D61" w14:textId="77777777" w:rsidR="005922B1" w:rsidRPr="00A432E1" w:rsidRDefault="005922B1">
            <w:pPr>
              <w:rPr>
                <w:sz w:val="24"/>
                <w:szCs w:val="24"/>
                <w:lang w:val="en-GB"/>
              </w:rPr>
            </w:pPr>
            <w:r w:rsidRPr="00A432E1">
              <w:rPr>
                <w:lang w:val="en-GB"/>
              </w:rPr>
              <w:t>0</w:t>
            </w:r>
          </w:p>
        </w:tc>
      </w:tr>
      <w:tr w:rsidR="005922B1" w:rsidRPr="00A432E1" w14:paraId="2744A312" w14:textId="77777777" w:rsidTr="000267C6">
        <w:trPr>
          <w:trHeight w:val="450"/>
          <w:tblCellSpacing w:w="37" w:type="dxa"/>
          <w:jc w:val="center"/>
        </w:trPr>
        <w:tc>
          <w:tcPr>
            <w:tcW w:w="0" w:type="auto"/>
            <w:gridSpan w:val="10"/>
            <w:shd w:val="clear" w:color="auto" w:fill="CCE29A"/>
            <w:vAlign w:val="center"/>
            <w:hideMark/>
          </w:tcPr>
          <w:p w14:paraId="73F75A92" w14:textId="77777777" w:rsidR="005922B1" w:rsidRPr="00A432E1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 </w:t>
            </w:r>
          </w:p>
        </w:tc>
      </w:tr>
      <w:tr w:rsidR="00711CA0" w:rsidRPr="00A432E1" w14:paraId="438BB6FD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F30BBE3" w14:textId="60A5A67F" w:rsidR="005922B1" w:rsidRPr="00A432E1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Exam/Course assignment</w:t>
            </w:r>
            <w:r w:rsidR="005922B1" w:rsidRPr="00A432E1">
              <w:rPr>
                <w:b/>
                <w:bCs/>
                <w:lang w:val="en-GB"/>
              </w:rPr>
              <w:t xml:space="preserve">: </w:t>
            </w:r>
          </w:p>
        </w:tc>
        <w:tc>
          <w:tcPr>
            <w:tcW w:w="0" w:type="auto"/>
            <w:gridSpan w:val="9"/>
            <w:shd w:val="clear" w:color="auto" w:fill="FFFFFF"/>
            <w:hideMark/>
          </w:tcPr>
          <w:p w14:paraId="5BA4BED7" w14:textId="3C76711F" w:rsidR="005922B1" w:rsidRPr="00A432E1" w:rsidRDefault="003730DF">
            <w:pPr>
              <w:rPr>
                <w:sz w:val="24"/>
                <w:szCs w:val="24"/>
                <w:lang w:val="en-GB"/>
              </w:rPr>
            </w:pPr>
            <w:r w:rsidRPr="00A432E1">
              <w:rPr>
                <w:sz w:val="24"/>
                <w:szCs w:val="24"/>
                <w:lang w:val="en-GB"/>
              </w:rPr>
              <w:t>Midterm exam</w:t>
            </w:r>
          </w:p>
        </w:tc>
      </w:tr>
      <w:tr w:rsidR="005922B1" w:rsidRPr="00A432E1" w14:paraId="47FEB8A5" w14:textId="77777777" w:rsidTr="000267C6">
        <w:trPr>
          <w:tblCellSpacing w:w="37" w:type="dxa"/>
          <w:jc w:val="center"/>
        </w:trPr>
        <w:tc>
          <w:tcPr>
            <w:tcW w:w="0" w:type="auto"/>
            <w:gridSpan w:val="10"/>
            <w:shd w:val="clear" w:color="auto" w:fill="CCE29A"/>
            <w:vAlign w:val="center"/>
            <w:hideMark/>
          </w:tcPr>
          <w:p w14:paraId="61F7EF29" w14:textId="77777777" w:rsidR="005922B1" w:rsidRPr="00A432E1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 </w:t>
            </w:r>
          </w:p>
        </w:tc>
      </w:tr>
      <w:tr w:rsidR="00711CA0" w:rsidRPr="00A432E1" w14:paraId="761E6C0F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11FE7380" w14:textId="6F32A8E6" w:rsidR="005922B1" w:rsidRPr="00A432E1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Course objectives</w:t>
            </w:r>
            <w:r w:rsidR="005922B1" w:rsidRPr="00A432E1">
              <w:rPr>
                <w:b/>
                <w:bCs/>
                <w:lang w:val="en-GB"/>
              </w:rPr>
              <w:t xml:space="preserve">: </w:t>
            </w:r>
          </w:p>
        </w:tc>
        <w:tc>
          <w:tcPr>
            <w:tcW w:w="0" w:type="auto"/>
            <w:gridSpan w:val="9"/>
            <w:shd w:val="clear" w:color="auto" w:fill="FFFFFF"/>
            <w:hideMark/>
          </w:tcPr>
          <w:p w14:paraId="69A1BC01" w14:textId="78BAC6ED" w:rsidR="005922B1" w:rsidRPr="00A432E1" w:rsidRDefault="00291207" w:rsidP="00291207">
            <w:pPr>
              <w:rPr>
                <w:sz w:val="24"/>
                <w:szCs w:val="24"/>
                <w:lang w:val="en-GB"/>
              </w:rPr>
            </w:pPr>
            <w:r w:rsidRPr="00291207">
              <w:rPr>
                <w:sz w:val="24"/>
                <w:szCs w:val="24"/>
                <w:lang w:val="en-GB"/>
              </w:rPr>
              <w:t>Upon completion of this course, students should understand the main concepts of statistics, use the basic jargon and be able to handle the tools and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291207">
              <w:rPr>
                <w:sz w:val="24"/>
                <w:szCs w:val="24"/>
                <w:lang w:val="en-GB"/>
              </w:rPr>
              <w:t>formulas of descriptive statistics.</w:t>
            </w:r>
          </w:p>
        </w:tc>
      </w:tr>
      <w:tr w:rsidR="00711CA0" w:rsidRPr="00A432E1" w14:paraId="46B82485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8246879" w14:textId="4F84FB94" w:rsidR="005922B1" w:rsidRPr="00A432E1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Course assessment:</w:t>
            </w:r>
          </w:p>
        </w:tc>
        <w:tc>
          <w:tcPr>
            <w:tcW w:w="0" w:type="auto"/>
            <w:gridSpan w:val="9"/>
            <w:shd w:val="clear" w:color="auto" w:fill="FFFFFF"/>
            <w:hideMark/>
          </w:tcPr>
          <w:p w14:paraId="77C8A885" w14:textId="5A5A02FE" w:rsidR="005922B1" w:rsidRPr="00A432E1" w:rsidRDefault="001866FC" w:rsidP="001866FC">
            <w:pPr>
              <w:rPr>
                <w:sz w:val="24"/>
                <w:szCs w:val="24"/>
                <w:lang w:val="en-GB"/>
              </w:rPr>
            </w:pPr>
            <w:r w:rsidRPr="001866FC">
              <w:rPr>
                <w:sz w:val="24"/>
                <w:szCs w:val="24"/>
                <w:lang w:val="en-GB"/>
              </w:rPr>
              <w:t>Students are required to attend all classes. Should a student accumulate 5 absences (excused and/or unexcused) out of 14 in the semester class,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1866FC">
              <w:rPr>
                <w:sz w:val="24"/>
                <w:szCs w:val="24"/>
                <w:lang w:val="en-GB"/>
              </w:rPr>
              <w:t>he/she will not receive academic credits. Students are required to pass two tests. Students may get homework, which should be handed in until the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1866FC">
              <w:rPr>
                <w:sz w:val="24"/>
                <w:szCs w:val="24"/>
                <w:lang w:val="en-GB"/>
              </w:rPr>
              <w:t>next lesson or presented in some minutes in the lectures.</w:t>
            </w:r>
          </w:p>
        </w:tc>
      </w:tr>
      <w:tr w:rsidR="005922B1" w:rsidRPr="00A432E1" w14:paraId="0A56D6F2" w14:textId="77777777" w:rsidTr="000267C6">
        <w:trPr>
          <w:tblCellSpacing w:w="37" w:type="dxa"/>
          <w:jc w:val="center"/>
        </w:trPr>
        <w:tc>
          <w:tcPr>
            <w:tcW w:w="0" w:type="auto"/>
            <w:gridSpan w:val="10"/>
            <w:shd w:val="clear" w:color="auto" w:fill="CCE29A"/>
            <w:vAlign w:val="center"/>
            <w:hideMark/>
          </w:tcPr>
          <w:p w14:paraId="215DD5B7" w14:textId="77777777" w:rsidR="005922B1" w:rsidRPr="00A432E1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lastRenderedPageBreak/>
              <w:t> </w:t>
            </w:r>
          </w:p>
        </w:tc>
      </w:tr>
      <w:tr w:rsidR="00711CA0" w:rsidRPr="00A432E1" w14:paraId="4E86C6F7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DEEAAD"/>
            <w:vAlign w:val="center"/>
            <w:hideMark/>
          </w:tcPr>
          <w:p w14:paraId="4080C99F" w14:textId="4BAE97B5" w:rsidR="005922B1" w:rsidRPr="00A432E1" w:rsidRDefault="006F5EE6">
            <w:pPr>
              <w:jc w:val="center"/>
              <w:rPr>
                <w:sz w:val="24"/>
                <w:szCs w:val="24"/>
                <w:lang w:val="en-GB"/>
              </w:rPr>
            </w:pPr>
            <w:r w:rsidRPr="00A432E1">
              <w:rPr>
                <w:b/>
                <w:lang w:val="en-GB"/>
              </w:rPr>
              <w:t>Week</w:t>
            </w:r>
            <w:r w:rsidRPr="00A432E1">
              <w:rPr>
                <w:b/>
                <w:lang w:val="en-GB"/>
              </w:rPr>
              <w:br/>
              <w:t>(consultation)</w:t>
            </w:r>
          </w:p>
        </w:tc>
        <w:tc>
          <w:tcPr>
            <w:tcW w:w="0" w:type="auto"/>
            <w:gridSpan w:val="9"/>
            <w:shd w:val="clear" w:color="auto" w:fill="DEEAAD"/>
            <w:vAlign w:val="center"/>
            <w:hideMark/>
          </w:tcPr>
          <w:p w14:paraId="27C3AC15" w14:textId="36AA58D2" w:rsidR="005922B1" w:rsidRPr="00A432E1" w:rsidRDefault="006F5EE6">
            <w:pPr>
              <w:jc w:val="center"/>
              <w:rPr>
                <w:sz w:val="24"/>
                <w:szCs w:val="24"/>
                <w:lang w:val="en-GB"/>
              </w:rPr>
            </w:pPr>
            <w:r w:rsidRPr="00A432E1">
              <w:rPr>
                <w:b/>
                <w:lang w:val="en-GB"/>
              </w:rPr>
              <w:t>Course content</w:t>
            </w:r>
          </w:p>
        </w:tc>
      </w:tr>
      <w:tr w:rsidR="00711CA0" w:rsidRPr="00A432E1" w14:paraId="04C7EEDE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238BE353" w14:textId="77777777" w:rsidR="005922B1" w:rsidRPr="00A432E1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1.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489CA8B7" w14:textId="7CDD425F" w:rsidR="005922B1" w:rsidRPr="00A432E1" w:rsidRDefault="00885474">
            <w:pPr>
              <w:rPr>
                <w:sz w:val="24"/>
                <w:szCs w:val="24"/>
                <w:lang w:val="en-GB"/>
              </w:rPr>
            </w:pPr>
            <w:r w:rsidRPr="00885474">
              <w:rPr>
                <w:sz w:val="24"/>
                <w:szCs w:val="24"/>
                <w:lang w:val="en-GB"/>
              </w:rPr>
              <w:t>The field of Statistics. Descriptive and inferential Statistics. Data, information. Sources: primary and secondary. Qualitative and quantitative data. Direct observation, experiments, surveys.</w:t>
            </w:r>
          </w:p>
        </w:tc>
      </w:tr>
      <w:tr w:rsidR="00711CA0" w:rsidRPr="00A432E1" w14:paraId="60319DAB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5237C84" w14:textId="77777777" w:rsidR="005922B1" w:rsidRPr="00A432E1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2.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3D6C7A77" w14:textId="30CBF375" w:rsidR="005922B1" w:rsidRPr="00A432E1" w:rsidRDefault="00885474">
            <w:pPr>
              <w:rPr>
                <w:sz w:val="24"/>
                <w:szCs w:val="24"/>
                <w:lang w:val="en-GB"/>
              </w:rPr>
            </w:pPr>
            <w:r w:rsidRPr="00885474">
              <w:rPr>
                <w:sz w:val="24"/>
                <w:szCs w:val="24"/>
                <w:lang w:val="en-GB"/>
              </w:rPr>
              <w:t>Population, subpopulation, sample. Parameter, statistic. Measurement scales. Basic jargon. Discrete and continuous variables.</w:t>
            </w:r>
          </w:p>
        </w:tc>
      </w:tr>
      <w:tr w:rsidR="00711CA0" w:rsidRPr="00A432E1" w14:paraId="12077595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6A7A96AA" w14:textId="77777777" w:rsidR="005922B1" w:rsidRPr="00A432E1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3.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7BF2E706" w14:textId="605821D3" w:rsidR="005922B1" w:rsidRPr="00A432E1" w:rsidRDefault="00885474">
            <w:pPr>
              <w:rPr>
                <w:sz w:val="24"/>
                <w:szCs w:val="24"/>
                <w:lang w:val="en-GB"/>
              </w:rPr>
            </w:pPr>
            <w:r w:rsidRPr="00885474">
              <w:rPr>
                <w:sz w:val="24"/>
                <w:szCs w:val="24"/>
                <w:lang w:val="en-GB"/>
              </w:rPr>
              <w:t>Comparison, ratios, harmonic, geometric, arithmetic, quadratic means.</w:t>
            </w:r>
          </w:p>
        </w:tc>
      </w:tr>
      <w:tr w:rsidR="00711CA0" w:rsidRPr="00A432E1" w14:paraId="6CD51690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4336974A" w14:textId="77777777" w:rsidR="005922B1" w:rsidRPr="00A432E1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4.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2056DAA3" w14:textId="45F88D49" w:rsidR="005922B1" w:rsidRPr="00A432E1" w:rsidRDefault="00885474">
            <w:pPr>
              <w:rPr>
                <w:sz w:val="24"/>
                <w:szCs w:val="24"/>
                <w:lang w:val="en-GB"/>
              </w:rPr>
            </w:pPr>
            <w:r w:rsidRPr="00885474">
              <w:rPr>
                <w:sz w:val="24"/>
                <w:szCs w:val="24"/>
                <w:lang w:val="en-GB"/>
              </w:rPr>
              <w:t>Frequency distributions, classes, Lorenz curve, concentration.</w:t>
            </w:r>
          </w:p>
        </w:tc>
      </w:tr>
      <w:tr w:rsidR="00711CA0" w:rsidRPr="00A432E1" w14:paraId="31A53DF2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45CF7A2A" w14:textId="77777777" w:rsidR="005922B1" w:rsidRPr="00A432E1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5.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438E6DCE" w14:textId="495157A0" w:rsidR="005922B1" w:rsidRPr="00A432E1" w:rsidRDefault="00885474" w:rsidP="005F66E3">
            <w:pPr>
              <w:rPr>
                <w:sz w:val="24"/>
                <w:szCs w:val="24"/>
                <w:lang w:val="en-GB"/>
              </w:rPr>
            </w:pPr>
            <w:r w:rsidRPr="00885474">
              <w:rPr>
                <w:sz w:val="24"/>
                <w:szCs w:val="24"/>
                <w:lang w:val="en-GB"/>
              </w:rPr>
              <w:t>Measures of central tendency, percentiles. Measures of dispersion, measures of relative position.</w:t>
            </w:r>
          </w:p>
        </w:tc>
      </w:tr>
      <w:tr w:rsidR="00711CA0" w:rsidRPr="00A432E1" w14:paraId="40D27437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2B46475B" w14:textId="77777777" w:rsidR="005922B1" w:rsidRPr="00A432E1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6.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422C2AC0" w14:textId="76715AD6" w:rsidR="005922B1" w:rsidRPr="00A432E1" w:rsidRDefault="00885474" w:rsidP="005F66E3">
            <w:pPr>
              <w:rPr>
                <w:sz w:val="24"/>
                <w:szCs w:val="24"/>
                <w:lang w:val="en-GB"/>
              </w:rPr>
            </w:pPr>
            <w:r w:rsidRPr="00885474">
              <w:rPr>
                <w:sz w:val="24"/>
                <w:szCs w:val="24"/>
                <w:lang w:val="en-GB"/>
              </w:rPr>
              <w:t>Graphing categorical and numerical data, charts.</w:t>
            </w:r>
          </w:p>
        </w:tc>
      </w:tr>
      <w:tr w:rsidR="00711CA0" w:rsidRPr="00A432E1" w14:paraId="3C5ADCB8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64C148EE" w14:textId="77777777" w:rsidR="005922B1" w:rsidRPr="00A432E1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7.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6617C254" w14:textId="5C29D296" w:rsidR="005922B1" w:rsidRPr="00A432E1" w:rsidRDefault="005F66E3">
            <w:pPr>
              <w:rPr>
                <w:sz w:val="24"/>
                <w:szCs w:val="24"/>
                <w:lang w:val="en-GB"/>
              </w:rPr>
            </w:pPr>
            <w:r w:rsidRPr="00A432E1">
              <w:rPr>
                <w:sz w:val="24"/>
                <w:szCs w:val="24"/>
                <w:lang w:val="en-GB"/>
              </w:rPr>
              <w:t>Test 1</w:t>
            </w:r>
          </w:p>
        </w:tc>
      </w:tr>
      <w:tr w:rsidR="00711CA0" w:rsidRPr="00A432E1" w14:paraId="50C40169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4D24B0D" w14:textId="77777777" w:rsidR="005922B1" w:rsidRPr="00A432E1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8.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1295DAC9" w14:textId="413F84A1" w:rsidR="005922B1" w:rsidRPr="00A432E1" w:rsidRDefault="00885474">
            <w:pPr>
              <w:rPr>
                <w:sz w:val="24"/>
                <w:szCs w:val="24"/>
                <w:lang w:val="en-GB"/>
              </w:rPr>
            </w:pPr>
            <w:r w:rsidRPr="00885474">
              <w:rPr>
                <w:sz w:val="24"/>
                <w:szCs w:val="24"/>
                <w:lang w:val="en-GB"/>
              </w:rPr>
              <w:t>Contingency tables I. Measures of association.</w:t>
            </w:r>
          </w:p>
        </w:tc>
      </w:tr>
      <w:tr w:rsidR="00711CA0" w:rsidRPr="00A432E1" w14:paraId="38FD2B9A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A77020C" w14:textId="77777777" w:rsidR="005922B1" w:rsidRPr="00A432E1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9.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1296453A" w14:textId="1DC79182" w:rsidR="005922B1" w:rsidRPr="00A432E1" w:rsidRDefault="00885474">
            <w:pPr>
              <w:rPr>
                <w:sz w:val="24"/>
                <w:szCs w:val="24"/>
                <w:lang w:val="en-GB"/>
              </w:rPr>
            </w:pPr>
            <w:r w:rsidRPr="00885474">
              <w:rPr>
                <w:sz w:val="24"/>
                <w:szCs w:val="24"/>
                <w:lang w:val="en-GB"/>
              </w:rPr>
              <w:t>Contingency tables II. Mixed relationship.</w:t>
            </w:r>
          </w:p>
        </w:tc>
      </w:tr>
      <w:tr w:rsidR="00711CA0" w:rsidRPr="00A432E1" w14:paraId="5BE02547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637E807F" w14:textId="77777777" w:rsidR="005922B1" w:rsidRPr="00A432E1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10.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071461E8" w14:textId="1B23160E" w:rsidR="005922B1" w:rsidRPr="00A432E1" w:rsidRDefault="00885474">
            <w:pPr>
              <w:rPr>
                <w:sz w:val="24"/>
                <w:szCs w:val="24"/>
                <w:lang w:val="en-GB"/>
              </w:rPr>
            </w:pPr>
            <w:r w:rsidRPr="00885474">
              <w:rPr>
                <w:sz w:val="24"/>
                <w:szCs w:val="24"/>
                <w:lang w:val="en-GB"/>
              </w:rPr>
              <w:t>Contingency tables III. Correlation.</w:t>
            </w:r>
          </w:p>
        </w:tc>
      </w:tr>
      <w:tr w:rsidR="00711CA0" w:rsidRPr="00A432E1" w14:paraId="58B54439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41030A81" w14:textId="77777777" w:rsidR="005922B1" w:rsidRPr="00A432E1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11.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2CB6DE6A" w14:textId="6973B2B7" w:rsidR="005922B1" w:rsidRPr="00A432E1" w:rsidRDefault="0088547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</w:t>
            </w:r>
            <w:r w:rsidRPr="00885474">
              <w:rPr>
                <w:sz w:val="24"/>
                <w:szCs w:val="24"/>
                <w:lang w:val="en-GB"/>
              </w:rPr>
              <w:t>omparison with the method of standardization.</w:t>
            </w:r>
          </w:p>
        </w:tc>
      </w:tr>
      <w:tr w:rsidR="00711CA0" w:rsidRPr="00A432E1" w14:paraId="18B90200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3D071241" w14:textId="77777777" w:rsidR="005922B1" w:rsidRPr="00A432E1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12.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53540F65" w14:textId="05E27B74" w:rsidR="005922B1" w:rsidRPr="00A432E1" w:rsidRDefault="00885474">
            <w:pPr>
              <w:rPr>
                <w:sz w:val="24"/>
                <w:szCs w:val="24"/>
                <w:lang w:val="en-GB"/>
              </w:rPr>
            </w:pPr>
            <w:r w:rsidRPr="00885474">
              <w:rPr>
                <w:sz w:val="24"/>
                <w:szCs w:val="24"/>
                <w:lang w:val="en-GB"/>
              </w:rPr>
              <w:t xml:space="preserve">Index numbers: simple indices, weighted aggregate indices: </w:t>
            </w:r>
            <w:proofErr w:type="spellStart"/>
            <w:r w:rsidRPr="00885474">
              <w:rPr>
                <w:sz w:val="24"/>
                <w:szCs w:val="24"/>
                <w:lang w:val="en-GB"/>
              </w:rPr>
              <w:t>Laspeyres</w:t>
            </w:r>
            <w:proofErr w:type="spellEnd"/>
            <w:r w:rsidRPr="00885474">
              <w:rPr>
                <w:sz w:val="24"/>
                <w:szCs w:val="24"/>
                <w:lang w:val="en-GB"/>
              </w:rPr>
              <w:t xml:space="preserve">’ and </w:t>
            </w:r>
            <w:proofErr w:type="spellStart"/>
            <w:r w:rsidRPr="00885474">
              <w:rPr>
                <w:sz w:val="24"/>
                <w:szCs w:val="24"/>
                <w:lang w:val="en-GB"/>
              </w:rPr>
              <w:t>Paasche’s</w:t>
            </w:r>
            <w:proofErr w:type="spellEnd"/>
            <w:r w:rsidRPr="00885474">
              <w:rPr>
                <w:sz w:val="24"/>
                <w:szCs w:val="24"/>
                <w:lang w:val="en-GB"/>
              </w:rPr>
              <w:t xml:space="preserve"> indices, Fisher indices.</w:t>
            </w:r>
          </w:p>
        </w:tc>
      </w:tr>
      <w:tr w:rsidR="00711CA0" w:rsidRPr="00A432E1" w14:paraId="100D591B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C8E8A7A" w14:textId="77777777" w:rsidR="005922B1" w:rsidRPr="00A432E1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13.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536320F1" w14:textId="71C89D39" w:rsidR="005922B1" w:rsidRPr="00A432E1" w:rsidRDefault="005F66E3">
            <w:pPr>
              <w:rPr>
                <w:sz w:val="24"/>
                <w:szCs w:val="24"/>
                <w:lang w:val="en-GB"/>
              </w:rPr>
            </w:pPr>
            <w:r w:rsidRPr="00A432E1">
              <w:rPr>
                <w:sz w:val="24"/>
                <w:szCs w:val="24"/>
                <w:lang w:val="en-GB"/>
              </w:rPr>
              <w:t>Test 2</w:t>
            </w:r>
          </w:p>
        </w:tc>
      </w:tr>
      <w:tr w:rsidR="00711CA0" w:rsidRPr="00A432E1" w14:paraId="0FAE553C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6B200BBD" w14:textId="77777777" w:rsidR="005922B1" w:rsidRPr="00A432E1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14.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14:paraId="476F54EF" w14:textId="6644D531" w:rsidR="005922B1" w:rsidRPr="00A432E1" w:rsidRDefault="003730DF">
            <w:pPr>
              <w:rPr>
                <w:sz w:val="24"/>
                <w:szCs w:val="24"/>
                <w:lang w:val="en-GB"/>
              </w:rPr>
            </w:pPr>
            <w:r w:rsidRPr="00A432E1">
              <w:rPr>
                <w:sz w:val="24"/>
                <w:szCs w:val="24"/>
                <w:lang w:val="en-GB"/>
              </w:rPr>
              <w:t>Makeup exams</w:t>
            </w:r>
          </w:p>
        </w:tc>
      </w:tr>
      <w:tr w:rsidR="005922B1" w:rsidRPr="00A432E1" w14:paraId="6957C961" w14:textId="77777777" w:rsidTr="000267C6">
        <w:trPr>
          <w:tblCellSpacing w:w="37" w:type="dxa"/>
          <w:jc w:val="center"/>
        </w:trPr>
        <w:tc>
          <w:tcPr>
            <w:tcW w:w="0" w:type="auto"/>
            <w:gridSpan w:val="10"/>
            <w:shd w:val="clear" w:color="auto" w:fill="CCE29A"/>
            <w:vAlign w:val="center"/>
            <w:hideMark/>
          </w:tcPr>
          <w:p w14:paraId="2E088D41" w14:textId="77777777" w:rsidR="005922B1" w:rsidRPr="00A432E1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 </w:t>
            </w:r>
          </w:p>
        </w:tc>
      </w:tr>
      <w:tr w:rsidR="00711CA0" w:rsidRPr="00A432E1" w14:paraId="1780855D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67D58632" w14:textId="067372FD" w:rsidR="005922B1" w:rsidRPr="00A432E1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lang w:val="en-GB"/>
              </w:rPr>
              <w:t>Assessment (method of assessment</w:t>
            </w:r>
            <w:r w:rsidR="005922B1" w:rsidRPr="00A432E1">
              <w:rPr>
                <w:b/>
                <w:bCs/>
                <w:lang w:val="en-GB"/>
              </w:rPr>
              <w:t xml:space="preserve">, </w:t>
            </w:r>
            <w:r w:rsidR="005922B1" w:rsidRPr="00A432E1">
              <w:rPr>
                <w:b/>
                <w:bCs/>
                <w:lang w:val="en-GB"/>
              </w:rPr>
              <w:br/>
            </w:r>
            <w:r w:rsidRPr="00A432E1">
              <w:rPr>
                <w:b/>
                <w:bCs/>
                <w:lang w:val="en-GB"/>
              </w:rPr>
              <w:t>make-ups and re-</w:t>
            </w:r>
            <w:r w:rsidRPr="00A432E1">
              <w:rPr>
                <w:b/>
                <w:bCs/>
                <w:lang w:val="en-GB"/>
              </w:rPr>
              <w:lastRenderedPageBreak/>
              <w:t>sits)</w:t>
            </w:r>
            <w:r w:rsidR="005922B1" w:rsidRPr="00A432E1">
              <w:rPr>
                <w:b/>
                <w:bCs/>
                <w:lang w:val="en-GB"/>
              </w:rPr>
              <w:t xml:space="preserve">: </w:t>
            </w:r>
          </w:p>
        </w:tc>
        <w:tc>
          <w:tcPr>
            <w:tcW w:w="0" w:type="auto"/>
            <w:gridSpan w:val="9"/>
            <w:shd w:val="clear" w:color="auto" w:fill="FFFFFF"/>
            <w:hideMark/>
          </w:tcPr>
          <w:p w14:paraId="5F495255" w14:textId="77777777" w:rsidR="005F66E3" w:rsidRPr="00A432E1" w:rsidRDefault="005F66E3" w:rsidP="005F66E3">
            <w:pPr>
              <w:rPr>
                <w:sz w:val="24"/>
                <w:szCs w:val="24"/>
                <w:lang w:val="en-GB"/>
              </w:rPr>
            </w:pPr>
            <w:r w:rsidRPr="00A432E1">
              <w:rPr>
                <w:sz w:val="24"/>
                <w:szCs w:val="24"/>
                <w:lang w:val="en-GB"/>
              </w:rPr>
              <w:lastRenderedPageBreak/>
              <w:t>Grade in this course is calculated numerically based on total points/percentages of the two tests although the instructor may raise or decrease it by one grade based on the active/inactive participation in classes or the level of the homework.</w:t>
            </w:r>
          </w:p>
          <w:p w14:paraId="1AE882BD" w14:textId="77777777" w:rsidR="005F66E3" w:rsidRPr="00A432E1" w:rsidRDefault="005F66E3" w:rsidP="005F66E3">
            <w:pPr>
              <w:rPr>
                <w:sz w:val="24"/>
                <w:szCs w:val="24"/>
                <w:lang w:val="en-GB"/>
              </w:rPr>
            </w:pPr>
            <w:r w:rsidRPr="00A432E1">
              <w:rPr>
                <w:sz w:val="24"/>
                <w:szCs w:val="24"/>
                <w:lang w:val="en-GB"/>
              </w:rPr>
              <w:lastRenderedPageBreak/>
              <w:t>5 (excellent): 87 – 100 %</w:t>
            </w:r>
          </w:p>
          <w:p w14:paraId="64EC49CD" w14:textId="77777777" w:rsidR="005F66E3" w:rsidRPr="00A432E1" w:rsidRDefault="005F66E3" w:rsidP="005F66E3">
            <w:pPr>
              <w:rPr>
                <w:sz w:val="24"/>
                <w:szCs w:val="24"/>
                <w:lang w:val="en-GB"/>
              </w:rPr>
            </w:pPr>
            <w:r w:rsidRPr="00A432E1">
              <w:rPr>
                <w:sz w:val="24"/>
                <w:szCs w:val="24"/>
                <w:lang w:val="en-GB"/>
              </w:rPr>
              <w:t>4 (good): 75 – 86 %</w:t>
            </w:r>
          </w:p>
          <w:p w14:paraId="57D81FB4" w14:textId="77777777" w:rsidR="005F66E3" w:rsidRPr="00A432E1" w:rsidRDefault="005F66E3" w:rsidP="005F66E3">
            <w:pPr>
              <w:rPr>
                <w:sz w:val="24"/>
                <w:szCs w:val="24"/>
                <w:lang w:val="en-GB"/>
              </w:rPr>
            </w:pPr>
            <w:r w:rsidRPr="00A432E1">
              <w:rPr>
                <w:sz w:val="24"/>
                <w:szCs w:val="24"/>
                <w:lang w:val="en-GB"/>
              </w:rPr>
              <w:t>3 (satisfactory): 63 – 74 %</w:t>
            </w:r>
          </w:p>
          <w:p w14:paraId="19451B41" w14:textId="77777777" w:rsidR="005F66E3" w:rsidRPr="00A432E1" w:rsidRDefault="005F66E3" w:rsidP="005F66E3">
            <w:pPr>
              <w:rPr>
                <w:sz w:val="24"/>
                <w:szCs w:val="24"/>
                <w:lang w:val="en-GB"/>
              </w:rPr>
            </w:pPr>
            <w:r w:rsidRPr="00A432E1">
              <w:rPr>
                <w:sz w:val="24"/>
                <w:szCs w:val="24"/>
                <w:lang w:val="en-GB"/>
              </w:rPr>
              <w:t>2 (pass): 51 – 62 %</w:t>
            </w:r>
          </w:p>
          <w:p w14:paraId="0B333E72" w14:textId="77777777" w:rsidR="005F66E3" w:rsidRPr="00A432E1" w:rsidRDefault="005F66E3" w:rsidP="005F66E3">
            <w:pPr>
              <w:rPr>
                <w:sz w:val="24"/>
                <w:szCs w:val="24"/>
                <w:lang w:val="en-GB"/>
              </w:rPr>
            </w:pPr>
            <w:r w:rsidRPr="00A432E1">
              <w:rPr>
                <w:sz w:val="24"/>
                <w:szCs w:val="24"/>
                <w:lang w:val="en-GB"/>
              </w:rPr>
              <w:t>1 (fail): 50 or less %</w:t>
            </w:r>
          </w:p>
          <w:p w14:paraId="058A24F4" w14:textId="47EF46DF" w:rsidR="005922B1" w:rsidRPr="00A432E1" w:rsidRDefault="005F66E3" w:rsidP="005F66E3">
            <w:pPr>
              <w:rPr>
                <w:sz w:val="24"/>
                <w:szCs w:val="24"/>
                <w:lang w:val="en-GB"/>
              </w:rPr>
            </w:pPr>
            <w:r w:rsidRPr="00A432E1">
              <w:rPr>
                <w:sz w:val="24"/>
                <w:szCs w:val="24"/>
                <w:lang w:val="en-GB"/>
              </w:rPr>
              <w:t>Should a student accumulate a total of 50 or less percentages, an additional chance is given to him/her to meet the requirements.</w:t>
            </w:r>
          </w:p>
        </w:tc>
      </w:tr>
      <w:tr w:rsidR="00711CA0" w:rsidRPr="00A432E1" w14:paraId="68C4D4CB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38890FFC" w14:textId="632A0B26" w:rsidR="005922B1" w:rsidRPr="00A432E1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lastRenderedPageBreak/>
              <w:t>Course completion (written or oral exam, test, etc.):</w:t>
            </w:r>
          </w:p>
        </w:tc>
        <w:tc>
          <w:tcPr>
            <w:tcW w:w="0" w:type="auto"/>
            <w:gridSpan w:val="9"/>
            <w:shd w:val="clear" w:color="auto" w:fill="FFFFFF"/>
            <w:hideMark/>
          </w:tcPr>
          <w:p w14:paraId="7D371028" w14:textId="4ABB3603" w:rsidR="005922B1" w:rsidRPr="00A432E1" w:rsidRDefault="003730DF">
            <w:pPr>
              <w:rPr>
                <w:sz w:val="24"/>
                <w:szCs w:val="24"/>
                <w:lang w:val="en-GB"/>
              </w:rPr>
            </w:pPr>
            <w:r w:rsidRPr="00A432E1">
              <w:rPr>
                <w:sz w:val="24"/>
                <w:szCs w:val="24"/>
                <w:lang w:val="en-GB"/>
              </w:rPr>
              <w:t>Written.</w:t>
            </w:r>
          </w:p>
        </w:tc>
      </w:tr>
      <w:tr w:rsidR="005922B1" w:rsidRPr="00A432E1" w14:paraId="113A4EAB" w14:textId="77777777" w:rsidTr="000267C6">
        <w:trPr>
          <w:tblCellSpacing w:w="37" w:type="dxa"/>
          <w:jc w:val="center"/>
        </w:trPr>
        <w:tc>
          <w:tcPr>
            <w:tcW w:w="0" w:type="auto"/>
            <w:gridSpan w:val="10"/>
            <w:shd w:val="clear" w:color="auto" w:fill="CCE29A"/>
            <w:vAlign w:val="center"/>
            <w:hideMark/>
          </w:tcPr>
          <w:p w14:paraId="6224684E" w14:textId="77777777" w:rsidR="005922B1" w:rsidRPr="00A432E1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 </w:t>
            </w:r>
          </w:p>
        </w:tc>
      </w:tr>
      <w:tr w:rsidR="00711CA0" w:rsidRPr="00A432E1" w14:paraId="08E484BF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4E8A973" w14:textId="7EE8C099" w:rsidR="005922B1" w:rsidRPr="00A432E1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Compulsory literature:</w:t>
            </w:r>
          </w:p>
        </w:tc>
        <w:tc>
          <w:tcPr>
            <w:tcW w:w="0" w:type="auto"/>
            <w:gridSpan w:val="9"/>
            <w:shd w:val="clear" w:color="auto" w:fill="FFFFFF"/>
          </w:tcPr>
          <w:p w14:paraId="4A291ACF" w14:textId="77777777" w:rsidR="00FD594B" w:rsidRPr="00FD594B" w:rsidRDefault="00FD594B" w:rsidP="00FD594B">
            <w:pPr>
              <w:rPr>
                <w:sz w:val="24"/>
                <w:szCs w:val="24"/>
                <w:lang w:val="en-GB"/>
              </w:rPr>
            </w:pPr>
            <w:r w:rsidRPr="00FD594B">
              <w:rPr>
                <w:sz w:val="24"/>
                <w:szCs w:val="24"/>
                <w:lang w:val="en-GB"/>
              </w:rPr>
              <w:t xml:space="preserve">Louise Swift and Sally </w:t>
            </w:r>
            <w:proofErr w:type="spellStart"/>
            <w:r w:rsidRPr="00FD594B">
              <w:rPr>
                <w:sz w:val="24"/>
                <w:szCs w:val="24"/>
                <w:lang w:val="en-GB"/>
              </w:rPr>
              <w:t>Piff</w:t>
            </w:r>
            <w:proofErr w:type="spellEnd"/>
            <w:r w:rsidRPr="00FD594B">
              <w:rPr>
                <w:sz w:val="24"/>
                <w:szCs w:val="24"/>
                <w:lang w:val="en-GB"/>
              </w:rPr>
              <w:t>: Quantitative Methods for Business, Management and Finance, Macmillan Education UK, 2014</w:t>
            </w:r>
          </w:p>
          <w:p w14:paraId="25F6614D" w14:textId="77777777" w:rsidR="00FD594B" w:rsidRPr="00FD594B" w:rsidRDefault="00FD594B" w:rsidP="00FD594B">
            <w:pPr>
              <w:rPr>
                <w:sz w:val="24"/>
                <w:szCs w:val="24"/>
                <w:lang w:val="en-GB"/>
              </w:rPr>
            </w:pPr>
            <w:r w:rsidRPr="00FD594B">
              <w:rPr>
                <w:sz w:val="24"/>
                <w:szCs w:val="24"/>
                <w:lang w:val="en-GB"/>
              </w:rPr>
              <w:t xml:space="preserve">Les </w:t>
            </w:r>
            <w:proofErr w:type="spellStart"/>
            <w:r w:rsidRPr="00FD594B">
              <w:rPr>
                <w:sz w:val="24"/>
                <w:szCs w:val="24"/>
                <w:lang w:val="en-GB"/>
              </w:rPr>
              <w:t>Oakshott</w:t>
            </w:r>
            <w:proofErr w:type="spellEnd"/>
            <w:r w:rsidRPr="00FD594B">
              <w:rPr>
                <w:sz w:val="24"/>
                <w:szCs w:val="24"/>
                <w:lang w:val="en-GB"/>
              </w:rPr>
              <w:t>: Essential Quantitative Methods: For Business, Management and Finance. 6th Edition, Palgrave, 2016</w:t>
            </w:r>
          </w:p>
          <w:p w14:paraId="77FF823D" w14:textId="77777777" w:rsidR="00FD594B" w:rsidRPr="00FD594B" w:rsidRDefault="00FD594B" w:rsidP="00FD594B">
            <w:pPr>
              <w:rPr>
                <w:sz w:val="24"/>
                <w:szCs w:val="24"/>
                <w:lang w:val="en-GB"/>
              </w:rPr>
            </w:pPr>
            <w:r w:rsidRPr="00FD594B">
              <w:rPr>
                <w:sz w:val="24"/>
                <w:szCs w:val="24"/>
                <w:lang w:val="en-GB"/>
              </w:rPr>
              <w:t xml:space="preserve">Les </w:t>
            </w:r>
            <w:proofErr w:type="spellStart"/>
            <w:r w:rsidRPr="00FD594B">
              <w:rPr>
                <w:sz w:val="24"/>
                <w:szCs w:val="24"/>
                <w:lang w:val="en-GB"/>
              </w:rPr>
              <w:t>Oakshott</w:t>
            </w:r>
            <w:proofErr w:type="spellEnd"/>
            <w:r w:rsidRPr="00FD594B">
              <w:rPr>
                <w:sz w:val="24"/>
                <w:szCs w:val="24"/>
                <w:lang w:val="en-GB"/>
              </w:rPr>
              <w:t>: Quantitative Methods. Palgrave, 2014</w:t>
            </w:r>
          </w:p>
          <w:p w14:paraId="20345200" w14:textId="77777777" w:rsidR="00FD594B" w:rsidRPr="00FD594B" w:rsidRDefault="00FD594B" w:rsidP="00FD594B">
            <w:pPr>
              <w:rPr>
                <w:sz w:val="24"/>
                <w:szCs w:val="24"/>
                <w:lang w:val="en-GB"/>
              </w:rPr>
            </w:pPr>
            <w:r w:rsidRPr="00FD594B">
              <w:rPr>
                <w:sz w:val="24"/>
                <w:szCs w:val="24"/>
                <w:lang w:val="en-GB"/>
              </w:rPr>
              <w:t>Robert Donnelly: The Complete Idiot`s Guide to Statistics. 2nd Edition, Alpha, 2007</w:t>
            </w:r>
          </w:p>
          <w:p w14:paraId="6CB96483" w14:textId="123A9CF3" w:rsidR="005922B1" w:rsidRPr="00A432E1" w:rsidRDefault="00FD594B" w:rsidP="00FD594B">
            <w:pPr>
              <w:rPr>
                <w:sz w:val="24"/>
                <w:szCs w:val="24"/>
                <w:lang w:val="en-GB"/>
              </w:rPr>
            </w:pPr>
            <w:r w:rsidRPr="00FD594B">
              <w:rPr>
                <w:sz w:val="24"/>
                <w:szCs w:val="24"/>
                <w:lang w:val="en-GB"/>
              </w:rPr>
              <w:t>Deborah J. Rumsey: Statistics For Dummies. 2nd Edition, Wiley, 2011</w:t>
            </w:r>
          </w:p>
        </w:tc>
      </w:tr>
      <w:tr w:rsidR="00711CA0" w:rsidRPr="00A432E1" w14:paraId="791C2395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41C537BA" w14:textId="70B642D3" w:rsidR="005922B1" w:rsidRPr="00A432E1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Recommended literature:</w:t>
            </w:r>
            <w:r w:rsidR="005922B1" w:rsidRPr="00A432E1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0" w:type="auto"/>
            <w:gridSpan w:val="9"/>
            <w:shd w:val="clear" w:color="auto" w:fill="FFFFFF"/>
          </w:tcPr>
          <w:p w14:paraId="45F7B815" w14:textId="489C4113" w:rsidR="005922B1" w:rsidRPr="00A432E1" w:rsidRDefault="00FD594B" w:rsidP="005F66E3">
            <w:pPr>
              <w:rPr>
                <w:sz w:val="24"/>
                <w:szCs w:val="24"/>
                <w:lang w:val="en-GB"/>
              </w:rPr>
            </w:pPr>
            <w:r w:rsidRPr="00FD594B">
              <w:rPr>
                <w:sz w:val="24"/>
                <w:szCs w:val="24"/>
                <w:lang w:val="en-GB"/>
              </w:rPr>
              <w:t xml:space="preserve">David Freedman, Robert Pisani, Roger Purves: Statistics (4th Edition), </w:t>
            </w:r>
            <w:proofErr w:type="spellStart"/>
            <w:r w:rsidRPr="00FD594B">
              <w:rPr>
                <w:sz w:val="24"/>
                <w:szCs w:val="24"/>
                <w:lang w:val="en-GB"/>
              </w:rPr>
              <w:t>W.W.Norton</w:t>
            </w:r>
            <w:proofErr w:type="spellEnd"/>
            <w:r w:rsidRPr="00FD594B">
              <w:rPr>
                <w:sz w:val="24"/>
                <w:szCs w:val="24"/>
                <w:lang w:val="en-GB"/>
              </w:rPr>
              <w:t xml:space="preserve"> &amp; Company Inc, 2007</w:t>
            </w:r>
          </w:p>
        </w:tc>
      </w:tr>
      <w:tr w:rsidR="005922B1" w:rsidRPr="00A432E1" w14:paraId="6B6E7A40" w14:textId="77777777" w:rsidTr="000267C6">
        <w:trPr>
          <w:tblCellSpacing w:w="37" w:type="dxa"/>
          <w:jc w:val="center"/>
        </w:trPr>
        <w:tc>
          <w:tcPr>
            <w:tcW w:w="0" w:type="auto"/>
            <w:gridSpan w:val="10"/>
            <w:shd w:val="clear" w:color="auto" w:fill="CCE29A"/>
            <w:vAlign w:val="center"/>
            <w:hideMark/>
          </w:tcPr>
          <w:p w14:paraId="478E1080" w14:textId="77777777" w:rsidR="005922B1" w:rsidRPr="00A432E1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 </w:t>
            </w:r>
          </w:p>
        </w:tc>
      </w:tr>
      <w:tr w:rsidR="00711CA0" w:rsidRPr="00A432E1" w14:paraId="14868CEF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854CE8F" w14:textId="13DB7C6F" w:rsidR="005922B1" w:rsidRPr="00A432E1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Additional material:</w:t>
            </w:r>
            <w:r w:rsidR="005922B1" w:rsidRPr="00A432E1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0" w:type="auto"/>
            <w:gridSpan w:val="9"/>
            <w:shd w:val="clear" w:color="auto" w:fill="FFFFFF"/>
            <w:hideMark/>
          </w:tcPr>
          <w:p w14:paraId="3884E73E" w14:textId="77777777" w:rsidR="005922B1" w:rsidRPr="00A432E1" w:rsidRDefault="005922B1">
            <w:pPr>
              <w:rPr>
                <w:sz w:val="24"/>
                <w:szCs w:val="24"/>
                <w:lang w:val="en-GB"/>
              </w:rPr>
            </w:pPr>
          </w:p>
        </w:tc>
      </w:tr>
      <w:tr w:rsidR="00711CA0" w:rsidRPr="00A432E1" w14:paraId="53F173A5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8D971FD" w14:textId="2634D41C" w:rsidR="005922B1" w:rsidRPr="00A432E1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Quality management aspects:</w:t>
            </w:r>
          </w:p>
        </w:tc>
        <w:tc>
          <w:tcPr>
            <w:tcW w:w="0" w:type="auto"/>
            <w:gridSpan w:val="9"/>
            <w:shd w:val="clear" w:color="auto" w:fill="FFFFFF"/>
            <w:hideMark/>
          </w:tcPr>
          <w:p w14:paraId="18F69D20" w14:textId="6F20A36F" w:rsidR="005922B1" w:rsidRPr="00A432E1" w:rsidRDefault="003730DF">
            <w:pPr>
              <w:rPr>
                <w:sz w:val="24"/>
                <w:szCs w:val="24"/>
                <w:lang w:val="en-GB"/>
              </w:rPr>
            </w:pPr>
            <w:r w:rsidRPr="00A432E1">
              <w:rPr>
                <w:sz w:val="24"/>
                <w:szCs w:val="24"/>
                <w:lang w:val="en-GB"/>
              </w:rPr>
              <w:t>TÜV CERT EN ISO 9001:2000</w:t>
            </w:r>
          </w:p>
        </w:tc>
      </w:tr>
    </w:tbl>
    <w:p w14:paraId="70EE5635" w14:textId="77777777" w:rsidR="00266D5B" w:rsidRPr="00A432E1" w:rsidRDefault="00266D5B" w:rsidP="0088718B">
      <w:pPr>
        <w:spacing w:after="240"/>
        <w:rPr>
          <w:lang w:val="en-GB"/>
        </w:rPr>
      </w:pPr>
    </w:p>
    <w:sectPr w:rsidR="00266D5B" w:rsidRPr="00A432E1" w:rsidSect="008871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18B"/>
    <w:rsid w:val="000267C6"/>
    <w:rsid w:val="000A279E"/>
    <w:rsid w:val="001866FC"/>
    <w:rsid w:val="00266D5B"/>
    <w:rsid w:val="00291207"/>
    <w:rsid w:val="003730DF"/>
    <w:rsid w:val="00520142"/>
    <w:rsid w:val="00533867"/>
    <w:rsid w:val="005907AF"/>
    <w:rsid w:val="005922B1"/>
    <w:rsid w:val="005F66E3"/>
    <w:rsid w:val="006265D7"/>
    <w:rsid w:val="006F5EE6"/>
    <w:rsid w:val="00711CA0"/>
    <w:rsid w:val="00885474"/>
    <w:rsid w:val="0088718B"/>
    <w:rsid w:val="00892011"/>
    <w:rsid w:val="0097797A"/>
    <w:rsid w:val="009A57E3"/>
    <w:rsid w:val="009E1260"/>
    <w:rsid w:val="00A432E1"/>
    <w:rsid w:val="00B5124B"/>
    <w:rsid w:val="00D861F3"/>
    <w:rsid w:val="00DD4217"/>
    <w:rsid w:val="00DF1B89"/>
    <w:rsid w:val="00E023E6"/>
    <w:rsid w:val="00E6686D"/>
    <w:rsid w:val="00EF57F1"/>
    <w:rsid w:val="00FD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040A6"/>
  <w15:docId w15:val="{995A1A78-0EBA-48E2-B9B2-008B5C62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023E6"/>
  </w:style>
  <w:style w:type="paragraph" w:styleId="Cmsor1">
    <w:name w:val="heading 1"/>
    <w:basedOn w:val="Norml"/>
    <w:next w:val="Norml"/>
    <w:link w:val="Cmsor1Char"/>
    <w:uiPriority w:val="9"/>
    <w:qFormat/>
    <w:rsid w:val="00E023E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023E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023E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023E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023E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023E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023E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023E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023E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023E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023E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E023E6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023E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023E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023E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023E6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023E6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023E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E023E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023E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E023E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023E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E023E6"/>
    <w:rPr>
      <w:b/>
      <w:bCs/>
    </w:rPr>
  </w:style>
  <w:style w:type="character" w:styleId="Kiemels">
    <w:name w:val="Emphasis"/>
    <w:uiPriority w:val="20"/>
    <w:qFormat/>
    <w:rsid w:val="00E023E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E023E6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E023E6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E023E6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E023E6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023E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023E6"/>
    <w:rPr>
      <w:b/>
      <w:bCs/>
      <w:i/>
      <w:iCs/>
    </w:rPr>
  </w:style>
  <w:style w:type="character" w:styleId="Finomkiemels">
    <w:name w:val="Subtle Emphasis"/>
    <w:uiPriority w:val="19"/>
    <w:qFormat/>
    <w:rsid w:val="00E023E6"/>
    <w:rPr>
      <w:i/>
      <w:iCs/>
    </w:rPr>
  </w:style>
  <w:style w:type="character" w:styleId="Erskiemels">
    <w:name w:val="Intense Emphasis"/>
    <w:uiPriority w:val="21"/>
    <w:qFormat/>
    <w:rsid w:val="00E023E6"/>
    <w:rPr>
      <w:b/>
      <w:bCs/>
    </w:rPr>
  </w:style>
  <w:style w:type="character" w:styleId="Finomhivatkozs">
    <w:name w:val="Subtle Reference"/>
    <w:uiPriority w:val="31"/>
    <w:qFormat/>
    <w:rsid w:val="00E023E6"/>
    <w:rPr>
      <w:smallCaps/>
    </w:rPr>
  </w:style>
  <w:style w:type="character" w:styleId="Ershivatkozs">
    <w:name w:val="Intense Reference"/>
    <w:uiPriority w:val="32"/>
    <w:qFormat/>
    <w:rsid w:val="00E023E6"/>
    <w:rPr>
      <w:smallCaps/>
      <w:spacing w:val="5"/>
      <w:u w:val="single"/>
    </w:rPr>
  </w:style>
  <w:style w:type="character" w:styleId="Knyvcme">
    <w:name w:val="Book Title"/>
    <w:uiPriority w:val="33"/>
    <w:qFormat/>
    <w:rsid w:val="00E023E6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023E6"/>
    <w:pPr>
      <w:outlineLvl w:val="9"/>
    </w:pPr>
    <w:rPr>
      <w:lang w:bidi="en-US"/>
    </w:rPr>
  </w:style>
  <w:style w:type="character" w:styleId="Hiperhivatkozs">
    <w:name w:val="Hyperlink"/>
    <w:basedOn w:val="Bekezdsalapbettpusa"/>
    <w:uiPriority w:val="99"/>
    <w:semiHidden/>
    <w:unhideWhenUsed/>
    <w:rsid w:val="008871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C1EB2193B177A4FBDDF39E063D36E2F" ma:contentTypeVersion="11" ma:contentTypeDescription="Új dokumentum létrehozása." ma:contentTypeScope="" ma:versionID="b25862e28aaff330d52d293873c11949">
  <xsd:schema xmlns:xsd="http://www.w3.org/2001/XMLSchema" xmlns:xs="http://www.w3.org/2001/XMLSchema" xmlns:p="http://schemas.microsoft.com/office/2006/metadata/properties" xmlns:ns2="30407a32-99de-4a01-8bb1-9d89cb16b2bb" targetNamespace="http://schemas.microsoft.com/office/2006/metadata/properties" ma:root="true" ma:fieldsID="7ddc6dc704200ddf7023c3e798e0a9b7" ns2:_="">
    <xsd:import namespace="30407a32-99de-4a01-8bb1-9d89cb16b2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07a32-99de-4a01-8bb1-9d89cb16b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E953FD-CA4E-4129-924C-AB4BFC1E29F7}"/>
</file>

<file path=customXml/itemProps2.xml><?xml version="1.0" encoding="utf-8"?>
<ds:datastoreItem xmlns:ds="http://schemas.openxmlformats.org/officeDocument/2006/customXml" ds:itemID="{B96F975E-3743-43E3-8981-340F1E317CD5}"/>
</file>

<file path=customXml/itemProps3.xml><?xml version="1.0" encoding="utf-8"?>
<ds:datastoreItem xmlns:ds="http://schemas.openxmlformats.org/officeDocument/2006/customXml" ds:itemID="{7EBEB367-1611-4B6E-8EFB-2A23545CD1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432</Words>
  <Characters>2981</Characters>
  <Application>Microsoft Office Word</Application>
  <DocSecurity>0</DocSecurity>
  <Lines>24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Viktor</dc:creator>
  <cp:lastModifiedBy>Loraszkó Andrea</cp:lastModifiedBy>
  <cp:revision>2</cp:revision>
  <dcterms:created xsi:type="dcterms:W3CDTF">2021-05-05T19:29:00Z</dcterms:created>
  <dcterms:modified xsi:type="dcterms:W3CDTF">2021-05-05T19:29:00Z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0x0101007C1EB2193B177A4FBDDF39E063D36E2F</vt:lpwstr>
  </property>
</Properties>
</file>