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28"/>
        <w:gridCol w:w="582"/>
        <w:gridCol w:w="238"/>
        <w:gridCol w:w="1821"/>
        <w:gridCol w:w="1427"/>
        <w:gridCol w:w="1218"/>
        <w:gridCol w:w="544"/>
        <w:gridCol w:w="624"/>
        <w:gridCol w:w="716"/>
      </w:tblGrid>
      <w:tr w:rsidR="00B95330" w:rsidRPr="00B95330" w14:paraId="4BEDFEE8" w14:textId="77777777" w:rsidTr="00B95330">
        <w:trPr>
          <w:trHeight w:val="300"/>
        </w:trPr>
        <w:tc>
          <w:tcPr>
            <w:tcW w:w="6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0F1B7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Institute of Applied Mathematics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5A863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Semester 1. of the curriculum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58C9AC90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2023-24-1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44BAC432" w14:textId="77777777" w:rsidTr="00B95330">
        <w:trPr>
          <w:trHeight w:val="300"/>
        </w:trPr>
        <w:tc>
          <w:tcPr>
            <w:tcW w:w="297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58E805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Name of the subject: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C9C435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Code of the subject: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790E88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Credits: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F32C1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Weekly hours: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54BACCA9" w14:textId="77777777" w:rsidTr="00B95330">
        <w:trPr>
          <w:trHeight w:val="135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0580D7" w14:textId="77777777" w:rsidR="00B95330" w:rsidRPr="00B95330" w:rsidRDefault="00B95330" w:rsidP="00B9533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2C9E50" w14:textId="77777777" w:rsidR="00B95330" w:rsidRPr="00B95330" w:rsidRDefault="00B95330" w:rsidP="00B9533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C20D3F" w14:textId="77777777" w:rsidR="00B95330" w:rsidRPr="00B95330" w:rsidRDefault="00B95330" w:rsidP="00B9533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30DD7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6D6EF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lec</w:t>
            </w:r>
            <w:proofErr w:type="spellEnd"/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062F9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sem</w:t>
            </w:r>
            <w:proofErr w:type="spellEnd"/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19D43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lab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29392A19" w14:textId="77777777" w:rsidTr="00B95330">
        <w:trPr>
          <w:trHeight w:val="135"/>
        </w:trPr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A4783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Geometry and topology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63771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NMXGT1EMNF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9D580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4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0551C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full-time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DE332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2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1CEB5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3AB8E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0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3DA2494E" w14:textId="77777777" w:rsidTr="00B95330">
        <w:trPr>
          <w:trHeight w:val="300"/>
        </w:trPr>
        <w:tc>
          <w:tcPr>
            <w:tcW w:w="6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0CDD0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Responsible person for the subject: Prof. Dr. NAGY </w:t>
            </w:r>
            <w:proofErr w:type="spellStart"/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Péter</w:t>
            </w:r>
            <w:proofErr w:type="spellEnd"/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Tibor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4580A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Classification: professor emeritus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42B8C3CC" w14:textId="77777777" w:rsidTr="00B95330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30EBA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Subject lecturer(s): 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6AE67C39" w14:textId="77777777" w:rsidTr="00B95330">
        <w:trPr>
          <w:trHeight w:val="300"/>
        </w:trPr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C34DD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Prerequisites</w:t>
            </w: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: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4CE43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4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9C138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23FC7589" w14:textId="77777777" w:rsidTr="00B95330">
        <w:trPr>
          <w:trHeight w:val="300"/>
        </w:trPr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892B7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Way of the assessment:</w:t>
            </w:r>
            <w:r w:rsidRPr="00B95330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141A2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exam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FC4CE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E14B0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5826B925" w14:textId="77777777" w:rsidTr="00B95330">
        <w:trPr>
          <w:trHeight w:val="49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735DB31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Course description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02CBCA88" w14:textId="77777777" w:rsidTr="00B95330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9B22E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Goal: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3558494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Acquisition of geometric, differential geometric and topological knowledge required for geometric modelling.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753A1FD1" w14:textId="77777777" w:rsidTr="00B95330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56FB0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Course description: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A3A9A31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Isometries of the Euclidean plane and space. The geometry of the sphere, elliptic plane, projective plane, hyperbolic plane. Euler polyhedron theorem, regular </w:t>
            </w:r>
            <w:proofErr w:type="spellStart"/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polyhedra</w:t>
            </w:r>
            <w:proofErr w:type="spellEnd"/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. Topology of surfaces, Euler characteristic. Differentiable curves, </w:t>
            </w:r>
            <w:proofErr w:type="gramStart"/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curvature</w:t>
            </w:r>
            <w:proofErr w:type="gramEnd"/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and torsion. Topological and metric spaces, sequences and convergence, </w:t>
            </w:r>
            <w:proofErr w:type="gramStart"/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compactness</w:t>
            </w:r>
            <w:proofErr w:type="gramEnd"/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and connectedness.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201F844B" w14:textId="77777777" w:rsidTr="00B95330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1E382D8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7BDDE5A8" w14:textId="77777777" w:rsidTr="00B95330">
        <w:trPr>
          <w:trHeight w:val="51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422F354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Lecture schedule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4144CF73" w14:textId="77777777" w:rsidTr="00B95330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05FE3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Education week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2B32B4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Topic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1ED9D9DD" w14:textId="77777777" w:rsidTr="00B95330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74121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7EA3400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Isometries of the Euclidean plane. Classification.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6A7014A2" w14:textId="77777777" w:rsidTr="00B95330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7C269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2.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13A08CA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Isometries of the Euclidean space. Classification.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5E58FC02" w14:textId="77777777" w:rsidTr="00B95330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4703A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3.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8E2580F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Geometry of the sphere, elliptic plane.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52C16875" w14:textId="77777777" w:rsidTr="00B95330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8BA49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4.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D9F4907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Projective plane, </w:t>
            </w:r>
            <w:proofErr w:type="spellStart"/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Beltrami</w:t>
            </w:r>
            <w:proofErr w:type="spellEnd"/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–Klein and </w:t>
            </w:r>
            <w:proofErr w:type="spellStart"/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Poincaré</w:t>
            </w:r>
            <w:proofErr w:type="spellEnd"/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disk model of hyperbolic plane.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28FEAC9C" w14:textId="77777777" w:rsidTr="00B95330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14551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5.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75D1515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Euler polyhedron theorem, Euler characteristic.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09B6DECC" w14:textId="77777777" w:rsidTr="00B95330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09850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6.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C502561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Regular polyhedral, constructions and classification.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708BCCFC" w14:textId="77777777" w:rsidTr="00B95330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DE272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7.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934FAF2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</w:t>
            </w:r>
            <w:r w:rsidRPr="00B95330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vertAlign w:val="superscript"/>
                <w:lang w:val="en-GB"/>
                <w14:ligatures w14:val="none"/>
              </w:rPr>
              <w:t>st</w:t>
            </w: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midterm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09FF1408" w14:textId="77777777" w:rsidTr="00B95330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3CCCB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8.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A145B4A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Differentiable curves, curvature.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2F34A92A" w14:textId="77777777" w:rsidTr="00B95330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02AD6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9.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6680280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Torsion, </w:t>
            </w:r>
            <w:proofErr w:type="spellStart"/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Frenet</w:t>
            </w:r>
            <w:proofErr w:type="spellEnd"/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equations.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6794BB2B" w14:textId="77777777" w:rsidTr="00B95330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A80BC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10.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F3962EB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Topological and metric spaces.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65D77ED8" w14:textId="77777777" w:rsidTr="00B95330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D4CBE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11.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7D5F2FB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Sequences and convergence.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660BEB4F" w14:textId="77777777" w:rsidTr="00B95330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A0175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12.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186A8F1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Compactness and connectedness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6F776249" w14:textId="77777777" w:rsidTr="00B95330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F13A8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13.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EB20BB1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2</w:t>
            </w:r>
            <w:r w:rsidRPr="00B95330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vertAlign w:val="superscript"/>
                <w:lang w:val="en-GB"/>
                <w14:ligatures w14:val="none"/>
              </w:rPr>
              <w:t>nd</w:t>
            </w: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midterm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6B075FD1" w14:textId="77777777" w:rsidTr="00B95330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27451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14.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335338C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Summary, evaluation</w:t>
            </w:r>
            <w:r w:rsidRPr="00B9533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B95330" w:rsidRPr="00B95330" w14:paraId="67FC737A" w14:textId="77777777" w:rsidTr="00B95330">
        <w:trPr>
          <w:trHeight w:val="55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4F3CC97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Mid-term requirements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3271FDC7" w14:textId="77777777" w:rsidTr="00B95330">
        <w:trPr>
          <w:trHeight w:val="300"/>
        </w:trPr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6F91E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Conditions for obtaining a mid-term grade/signature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9EFE005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50% of home assignments</w:t>
            </w:r>
            <w:r w:rsidRPr="00B9533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B95330" w:rsidRPr="00B95330" w14:paraId="541B59C4" w14:textId="77777777" w:rsidTr="00B95330">
        <w:trPr>
          <w:trHeight w:val="57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A218C97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Assessment schedule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2A5FD564" w14:textId="77777777" w:rsidTr="00B95330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F9709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Education week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1FE26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Topic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31BBE5F6" w14:textId="77777777" w:rsidTr="00B95330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98A3226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7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5B2A6F6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1</w:t>
            </w:r>
            <w:r w:rsidRPr="00B95330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vertAlign w:val="superscript"/>
                <w:lang w:val="en-GB"/>
                <w14:ligatures w14:val="none"/>
              </w:rPr>
              <w:t>st</w:t>
            </w:r>
            <w:r w:rsidRPr="00B95330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 xml:space="preserve"> midterm: 1-6 weeks </w:t>
            </w:r>
            <w:r w:rsidRPr="00B9533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B95330" w:rsidRPr="00B95330" w14:paraId="1A4B1916" w14:textId="77777777" w:rsidTr="00B95330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071E9DC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13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D254814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2</w:t>
            </w:r>
            <w:r w:rsidRPr="00B95330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vertAlign w:val="superscript"/>
                <w:lang w:val="en-GB"/>
                <w14:ligatures w14:val="none"/>
              </w:rPr>
              <w:t>nd</w:t>
            </w:r>
            <w:r w:rsidRPr="00B95330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 xml:space="preserve"> midterm: 8-12 weeks </w:t>
            </w:r>
            <w:r w:rsidRPr="00B9533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B95330" w:rsidRPr="00B95330" w14:paraId="2D6D03E8" w14:textId="77777777" w:rsidTr="00B95330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E0E112C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14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CB596F6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>test retake</w:t>
            </w:r>
            <w:r w:rsidRPr="00B953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95330" w:rsidRPr="00B95330" w14:paraId="6B6A486E" w14:textId="77777777" w:rsidTr="00B95330">
        <w:trPr>
          <w:trHeight w:val="49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A3B9906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 xml:space="preserve">Method used to calculate the </w:t>
            </w:r>
            <w:r w:rsidRPr="00B9533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val="en-GB"/>
                <w14:ligatures w14:val="none"/>
              </w:rPr>
              <w:t>mid-term grade</w:t>
            </w: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(to be filled out only for subjects with mid-term grades)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569B8151" w14:textId="77777777" w:rsidTr="00B95330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7698837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 </w:t>
            </w:r>
          </w:p>
        </w:tc>
      </w:tr>
      <w:tr w:rsidR="00B95330" w:rsidRPr="00B95330" w14:paraId="38783892" w14:textId="77777777" w:rsidTr="00B95330">
        <w:trPr>
          <w:trHeight w:val="43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6BCEA60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Type of the replacement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17E8BCA0" w14:textId="77777777" w:rsidTr="00B95330">
        <w:trPr>
          <w:trHeight w:val="300"/>
        </w:trPr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F0EC1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Type of the replacement of written test/mid-term grade/signature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D85FA85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Written exam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47A643DB" w14:textId="77777777" w:rsidTr="00B95330">
        <w:trPr>
          <w:trHeight w:val="42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69906C9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 xml:space="preserve">Type of the exam </w:t>
            </w: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(to be filled out only for subjects with exams)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408F8F4C" w14:textId="77777777" w:rsidTr="00B95330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086058B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Written and oral exam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6742201B" w14:textId="77777777" w:rsidTr="00B95330">
        <w:trPr>
          <w:trHeight w:val="46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E791C5E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 xml:space="preserve">Calculation of the exam mark </w:t>
            </w: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(to be filled only for subjects with exams)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3B4A0F81" w14:textId="77777777" w:rsidTr="00B95330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ED6A377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70% written exam + 30% oral exam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293E388C" w14:textId="77777777" w:rsidTr="00B95330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1AAB2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​​Final grade calculation methods:​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5C920BF1" w14:textId="77777777" w:rsidTr="00B95330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30C0A15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0-50: fail (1)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0FEB9C73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51-62: pass (2)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5CDDB2EE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63-75: satisfactory (3)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4026356B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76-88: good (4)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14DC255D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89-100: excellent (5)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79F1029D" w14:textId="77777777" w:rsidTr="00B95330">
        <w:trPr>
          <w:trHeight w:val="46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9E10E5D" w14:textId="77777777" w:rsidR="00B95330" w:rsidRPr="00B95330" w:rsidRDefault="00B95330" w:rsidP="00B953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References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B95330" w:rsidRPr="00B95330" w14:paraId="3BAFC84A" w14:textId="77777777" w:rsidTr="00B95330">
        <w:trPr>
          <w:trHeight w:val="30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E3267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Obligatory: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9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BE06C84" w14:textId="77777777" w:rsidR="00B95330" w:rsidRPr="00B95330" w:rsidRDefault="00B95330" w:rsidP="00B9533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B95330">
              <w:rPr>
                <w:rFonts w:ascii="Arial Narrow" w:eastAsia="Times New Roman" w:hAnsi="Arial Narrow" w:cs="Segoe UI"/>
                <w:kern w:val="0"/>
                <w:lang w:val="en-GB"/>
                <w14:ligatures w14:val="none"/>
              </w:rPr>
              <w:t>Audin</w:t>
            </w:r>
            <w:proofErr w:type="spellEnd"/>
            <w:r w:rsidRPr="00B95330">
              <w:rPr>
                <w:rFonts w:ascii="Arial Narrow" w:eastAsia="Times New Roman" w:hAnsi="Arial Narrow" w:cs="Segoe UI"/>
                <w:kern w:val="0"/>
                <w:lang w:val="en-GB"/>
                <w14:ligatures w14:val="none"/>
              </w:rPr>
              <w:t xml:space="preserve">, Michèle; Geometry, </w:t>
            </w:r>
            <w:proofErr w:type="spellStart"/>
            <w:r w:rsidRPr="00B95330">
              <w:rPr>
                <w:rFonts w:ascii="Arial Narrow" w:eastAsia="Times New Roman" w:hAnsi="Arial Narrow" w:cs="Segoe UI"/>
                <w:kern w:val="0"/>
                <w:lang w:val="en-GB"/>
                <w14:ligatures w14:val="none"/>
              </w:rPr>
              <w:t>Universitext</w:t>
            </w:r>
            <w:proofErr w:type="spellEnd"/>
            <w:r w:rsidRPr="00B95330">
              <w:rPr>
                <w:rFonts w:ascii="Arial Narrow" w:eastAsia="Times New Roman" w:hAnsi="Arial Narrow" w:cs="Segoe UI"/>
                <w:kern w:val="0"/>
                <w:lang w:val="en-GB"/>
                <w14:ligatures w14:val="none"/>
              </w:rPr>
              <w:t>, Springer, 2003.</w:t>
            </w:r>
            <w:r w:rsidRPr="00B95330">
              <w:rPr>
                <w:rFonts w:ascii="Arial Narrow" w:eastAsia="Times New Roman" w:hAnsi="Arial Narrow" w:cs="Segoe UI"/>
                <w:kern w:val="0"/>
                <w14:ligatures w14:val="none"/>
              </w:rPr>
              <w:t> </w:t>
            </w:r>
          </w:p>
        </w:tc>
      </w:tr>
      <w:tr w:rsidR="00B95330" w:rsidRPr="00B95330" w14:paraId="55B39B87" w14:textId="77777777" w:rsidTr="00B95330">
        <w:trPr>
          <w:trHeight w:val="30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38B88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Recommended: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9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A2CD9A4" w14:textId="77777777" w:rsidR="00B95330" w:rsidRPr="00B95330" w:rsidRDefault="00B95330" w:rsidP="00B9533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B95330">
              <w:rPr>
                <w:rFonts w:ascii="Arial Narrow" w:eastAsia="Times New Roman" w:hAnsi="Arial Narrow" w:cs="Segoe UI"/>
                <w:kern w:val="0"/>
                <w:lang w:val="en-GB"/>
                <w14:ligatures w14:val="none"/>
              </w:rPr>
              <w:t>Coxeter</w:t>
            </w:r>
            <w:proofErr w:type="spellEnd"/>
            <w:r w:rsidRPr="00B95330">
              <w:rPr>
                <w:rFonts w:ascii="Arial Narrow" w:eastAsia="Times New Roman" w:hAnsi="Arial Narrow" w:cs="Segoe UI"/>
                <w:kern w:val="0"/>
                <w:lang w:val="en-GB"/>
                <w14:ligatures w14:val="none"/>
              </w:rPr>
              <w:t>, H.S.M.; Introduction to Geometry, Wiley, 1969. </w:t>
            </w:r>
            <w:r w:rsidRPr="00B95330">
              <w:rPr>
                <w:rFonts w:ascii="Arial Narrow" w:eastAsia="Times New Roman" w:hAnsi="Arial Narrow" w:cs="Segoe UI"/>
                <w:kern w:val="0"/>
                <w14:ligatures w14:val="none"/>
              </w:rPr>
              <w:t> </w:t>
            </w:r>
          </w:p>
          <w:p w14:paraId="05A63E60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Arial Narrow" w:eastAsia="Times New Roman" w:hAnsi="Arial Narrow" w:cs="Segoe UI"/>
                <w:kern w:val="0"/>
                <w:lang w:val="en-GB"/>
                <w14:ligatures w14:val="none"/>
              </w:rPr>
              <w:t xml:space="preserve">Hoffmann </w:t>
            </w:r>
            <w:proofErr w:type="spellStart"/>
            <w:r w:rsidRPr="00B95330">
              <w:rPr>
                <w:rFonts w:ascii="Arial Narrow" w:eastAsia="Times New Roman" w:hAnsi="Arial Narrow" w:cs="Segoe UI"/>
                <w:kern w:val="0"/>
                <w:lang w:val="en-GB"/>
                <w14:ligatures w14:val="none"/>
              </w:rPr>
              <w:t>Miklós</w:t>
            </w:r>
            <w:proofErr w:type="spellEnd"/>
            <w:r w:rsidRPr="00B95330">
              <w:rPr>
                <w:rFonts w:ascii="Arial Narrow" w:eastAsia="Times New Roman" w:hAnsi="Arial Narrow" w:cs="Segoe UI"/>
                <w:kern w:val="0"/>
                <w:lang w:val="en-GB"/>
                <w14:ligatures w14:val="none"/>
              </w:rPr>
              <w:t xml:space="preserve">: Topology and differential geometry, </w:t>
            </w:r>
            <w:hyperlink r:id="rId4" w:tgtFrame="_blank" w:history="1">
              <w:r w:rsidRPr="00B95330">
                <w:rPr>
                  <w:rFonts w:ascii="Arial Narrow" w:eastAsia="Times New Roman" w:hAnsi="Arial Narrow" w:cs="Segoe UI"/>
                  <w:color w:val="0563C1"/>
                  <w:kern w:val="0"/>
                  <w:u w:val="single"/>
                  <w:lang w:val="en-GB"/>
                  <w14:ligatures w14:val="none"/>
                </w:rPr>
                <w:t>https://dtk.tankonyvtar.hu/xmlui/handle/123456789/8413</w:t>
              </w:r>
            </w:hyperlink>
            <w:r w:rsidRPr="00B95330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B95330" w:rsidRPr="00B95330" w14:paraId="46BC2721" w14:textId="77777777" w:rsidTr="00B95330">
        <w:trPr>
          <w:trHeight w:val="30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25BCA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Other references:</w:t>
            </w: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9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66834BD" w14:textId="77777777" w:rsidR="00B95330" w:rsidRPr="00B95330" w:rsidRDefault="00B95330" w:rsidP="00B953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B9533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</w:tbl>
    <w:p w14:paraId="2C0F63FE" w14:textId="77777777" w:rsidR="00B95330" w:rsidRDefault="00B95330"/>
    <w:sectPr w:rsidR="00B9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30"/>
    <w:rsid w:val="00B9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5F64"/>
  <w15:chartTrackingRefBased/>
  <w15:docId w15:val="{26EFDF38-DBCC-418D-8605-A6B19354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B9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Bekezdsalapbettpusa"/>
    <w:rsid w:val="00B95330"/>
  </w:style>
  <w:style w:type="character" w:customStyle="1" w:styleId="eop">
    <w:name w:val="eop"/>
    <w:basedOn w:val="Bekezdsalapbettpusa"/>
    <w:rsid w:val="00B95330"/>
  </w:style>
  <w:style w:type="character" w:customStyle="1" w:styleId="findhit">
    <w:name w:val="findhit"/>
    <w:basedOn w:val="Bekezdsalapbettpusa"/>
    <w:rsid w:val="00B95330"/>
  </w:style>
  <w:style w:type="character" w:customStyle="1" w:styleId="contentcontrolboundarysink">
    <w:name w:val="contentcontrolboundarysink"/>
    <w:basedOn w:val="Bekezdsalapbettpusa"/>
    <w:rsid w:val="00B9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tk.tankonyvtar.hu/xmlui/handle/123456789/841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7FB3D-9E2B-462C-8E28-0C994298305E}"/>
</file>

<file path=customXml/itemProps2.xml><?xml version="1.0" encoding="utf-8"?>
<ds:datastoreItem xmlns:ds="http://schemas.openxmlformats.org/officeDocument/2006/customXml" ds:itemID="{0AB02160-3F17-4CE3-9CBE-1F373949F7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Lazányi Kornélia</dc:creator>
  <cp:keywords/>
  <dc:description/>
  <cp:lastModifiedBy>Prof. Dr. Lazányi Kornélia</cp:lastModifiedBy>
  <cp:revision>1</cp:revision>
  <dcterms:created xsi:type="dcterms:W3CDTF">2023-06-05T15:15:00Z</dcterms:created>
  <dcterms:modified xsi:type="dcterms:W3CDTF">2023-06-05T15:16:00Z</dcterms:modified>
</cp:coreProperties>
</file>