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21" w:rsidRPr="00962821" w:rsidRDefault="000F4730" w:rsidP="00962821">
      <w:pPr>
        <w:jc w:val="center"/>
        <w:rPr>
          <w:rFonts w:ascii="Times New Roman" w:hAnsi="Times New Roman" w:cs="Times New Roman"/>
          <w:b/>
          <w:sz w:val="24"/>
          <w:szCs w:val="24"/>
        </w:rPr>
      </w:pPr>
      <w:r>
        <w:rPr>
          <w:rFonts w:ascii="Times New Roman" w:hAnsi="Times New Roman" w:cs="Times New Roman"/>
          <w:b/>
          <w:sz w:val="24"/>
          <w:szCs w:val="24"/>
        </w:rPr>
        <w:t>Ó</w:t>
      </w:r>
      <w:r w:rsidR="00962821" w:rsidRPr="00962821">
        <w:rPr>
          <w:rFonts w:ascii="Times New Roman" w:hAnsi="Times New Roman" w:cs="Times New Roman"/>
          <w:b/>
          <w:sz w:val="24"/>
          <w:szCs w:val="24"/>
        </w:rPr>
        <w:t>budai Egyetem</w:t>
      </w:r>
    </w:p>
    <w:p w:rsidR="003469F3" w:rsidRDefault="00723BB8" w:rsidP="003808B4">
      <w:pPr>
        <w:jc w:val="center"/>
        <w:rPr>
          <w:rFonts w:ascii="Times New Roman" w:hAnsi="Times New Roman" w:cs="Times New Roman"/>
          <w:b/>
          <w:sz w:val="24"/>
          <w:szCs w:val="24"/>
        </w:rPr>
      </w:pPr>
      <w:r>
        <w:rPr>
          <w:rFonts w:ascii="Times New Roman" w:hAnsi="Times New Roman" w:cs="Times New Roman"/>
          <w:b/>
          <w:sz w:val="24"/>
          <w:szCs w:val="24"/>
        </w:rPr>
        <w:t>A 202</w:t>
      </w:r>
      <w:r w:rsidR="003808B4">
        <w:rPr>
          <w:rFonts w:ascii="Times New Roman" w:hAnsi="Times New Roman" w:cs="Times New Roman"/>
          <w:b/>
          <w:sz w:val="24"/>
          <w:szCs w:val="24"/>
        </w:rPr>
        <w:t>1</w:t>
      </w:r>
      <w:r w:rsidR="00962821" w:rsidRPr="00962821">
        <w:rPr>
          <w:rFonts w:ascii="Times New Roman" w:hAnsi="Times New Roman" w:cs="Times New Roman"/>
          <w:b/>
          <w:sz w:val="24"/>
          <w:szCs w:val="24"/>
        </w:rPr>
        <w:t>. évi szöveges beszámoló indoklása</w:t>
      </w:r>
    </w:p>
    <w:p w:rsidR="00962821" w:rsidRPr="00962821" w:rsidRDefault="00962821" w:rsidP="00962821">
      <w:pPr>
        <w:jc w:val="center"/>
        <w:rPr>
          <w:rFonts w:ascii="Times New Roman" w:hAnsi="Times New Roman" w:cs="Times New Roman"/>
          <w:b/>
          <w:sz w:val="24"/>
          <w:szCs w:val="24"/>
        </w:rPr>
      </w:pPr>
    </w:p>
    <w:p w:rsidR="00962821" w:rsidRPr="007D0666" w:rsidRDefault="00962821" w:rsidP="007D0666">
      <w:pPr>
        <w:pStyle w:val="Cmsor1"/>
        <w:rPr>
          <w:rFonts w:ascii="Times New Roman" w:hAnsi="Times New Roman" w:cs="Times New Roman"/>
          <w:sz w:val="24"/>
          <w:szCs w:val="24"/>
        </w:rPr>
      </w:pPr>
      <w:r w:rsidRPr="007D0666">
        <w:rPr>
          <w:rFonts w:ascii="Times New Roman" w:hAnsi="Times New Roman" w:cs="Times New Roman"/>
          <w:sz w:val="24"/>
          <w:szCs w:val="24"/>
        </w:rPr>
        <w:t>Az Óbudai Egyetem 20</w:t>
      </w:r>
      <w:r w:rsidR="00DB0C83" w:rsidRPr="007D0666">
        <w:rPr>
          <w:rFonts w:ascii="Times New Roman" w:hAnsi="Times New Roman" w:cs="Times New Roman"/>
          <w:sz w:val="24"/>
          <w:szCs w:val="24"/>
        </w:rPr>
        <w:t>2</w:t>
      </w:r>
      <w:r w:rsidR="00245711" w:rsidRPr="007D0666">
        <w:rPr>
          <w:rFonts w:ascii="Times New Roman" w:hAnsi="Times New Roman" w:cs="Times New Roman"/>
          <w:sz w:val="24"/>
          <w:szCs w:val="24"/>
        </w:rPr>
        <w:t>1</w:t>
      </w:r>
      <w:r w:rsidRPr="007D0666">
        <w:rPr>
          <w:rFonts w:ascii="Times New Roman" w:hAnsi="Times New Roman" w:cs="Times New Roman"/>
          <w:sz w:val="24"/>
          <w:szCs w:val="24"/>
        </w:rPr>
        <w:t xml:space="preserve">. évi szakmai tevékenységének </w:t>
      </w:r>
      <w:r w:rsidR="000F3365" w:rsidRPr="007D0666">
        <w:rPr>
          <w:rFonts w:ascii="Times New Roman" w:hAnsi="Times New Roman" w:cs="Times New Roman"/>
          <w:sz w:val="24"/>
          <w:szCs w:val="24"/>
        </w:rPr>
        <w:t>rövid</w:t>
      </w:r>
      <w:r w:rsidR="001F0682" w:rsidRPr="007D0666">
        <w:rPr>
          <w:rFonts w:ascii="Times New Roman" w:hAnsi="Times New Roman" w:cs="Times New Roman"/>
          <w:sz w:val="24"/>
          <w:szCs w:val="24"/>
        </w:rPr>
        <w:t xml:space="preserve"> </w:t>
      </w:r>
      <w:r w:rsidRPr="007D0666">
        <w:rPr>
          <w:rFonts w:ascii="Times New Roman" w:hAnsi="Times New Roman" w:cs="Times New Roman"/>
          <w:sz w:val="24"/>
          <w:szCs w:val="24"/>
        </w:rPr>
        <w:t>bemutatása</w:t>
      </w:r>
    </w:p>
    <w:p w:rsidR="00F85678" w:rsidRDefault="00962821" w:rsidP="00962821">
      <w:pPr>
        <w:spacing w:line="276" w:lineRule="auto"/>
        <w:jc w:val="both"/>
        <w:rPr>
          <w:rFonts w:ascii="Times New Roman" w:hAnsi="Times New Roman" w:cs="Times New Roman"/>
          <w:sz w:val="24"/>
          <w:szCs w:val="24"/>
        </w:rPr>
      </w:pPr>
      <w:r w:rsidRPr="00962821">
        <w:rPr>
          <w:rFonts w:ascii="Times New Roman" w:hAnsi="Times New Roman" w:cs="Times New Roman"/>
          <w:sz w:val="24"/>
          <w:szCs w:val="24"/>
        </w:rPr>
        <w:t xml:space="preserve">Az Óbudai Egyetem (továbbiakban: </w:t>
      </w:r>
      <w:r w:rsidR="000F4730">
        <w:rPr>
          <w:rFonts w:ascii="Times New Roman" w:hAnsi="Times New Roman" w:cs="Times New Roman"/>
          <w:sz w:val="24"/>
          <w:szCs w:val="24"/>
        </w:rPr>
        <w:t>E</w:t>
      </w:r>
      <w:r w:rsidRPr="00962821">
        <w:rPr>
          <w:rFonts w:ascii="Times New Roman" w:hAnsi="Times New Roman" w:cs="Times New Roman"/>
          <w:sz w:val="24"/>
          <w:szCs w:val="24"/>
        </w:rPr>
        <w:t xml:space="preserve">gyetem) </w:t>
      </w:r>
      <w:r w:rsidR="00F85678">
        <w:rPr>
          <w:rFonts w:ascii="Times New Roman" w:hAnsi="Times New Roman" w:cs="Times New Roman"/>
          <w:sz w:val="24"/>
          <w:szCs w:val="24"/>
        </w:rPr>
        <w:t>a 202</w:t>
      </w:r>
      <w:r w:rsidR="00245711">
        <w:rPr>
          <w:rFonts w:ascii="Times New Roman" w:hAnsi="Times New Roman" w:cs="Times New Roman"/>
          <w:sz w:val="24"/>
          <w:szCs w:val="24"/>
        </w:rPr>
        <w:t>1</w:t>
      </w:r>
      <w:r w:rsidR="00F85678">
        <w:rPr>
          <w:rFonts w:ascii="Times New Roman" w:hAnsi="Times New Roman" w:cs="Times New Roman"/>
          <w:sz w:val="24"/>
          <w:szCs w:val="24"/>
        </w:rPr>
        <w:t>-</w:t>
      </w:r>
      <w:r w:rsidR="00245711">
        <w:rPr>
          <w:rFonts w:ascii="Times New Roman" w:hAnsi="Times New Roman" w:cs="Times New Roman"/>
          <w:sz w:val="24"/>
          <w:szCs w:val="24"/>
        </w:rPr>
        <w:t>e</w:t>
      </w:r>
      <w:r w:rsidRPr="00962821">
        <w:rPr>
          <w:rFonts w:ascii="Times New Roman" w:hAnsi="Times New Roman" w:cs="Times New Roman"/>
          <w:sz w:val="24"/>
          <w:szCs w:val="24"/>
        </w:rPr>
        <w:t>s beszámolási időszakban</w:t>
      </w:r>
      <w:r w:rsidR="00F85678">
        <w:rPr>
          <w:rFonts w:ascii="Times New Roman" w:hAnsi="Times New Roman" w:cs="Times New Roman"/>
          <w:sz w:val="24"/>
          <w:szCs w:val="24"/>
        </w:rPr>
        <w:t xml:space="preserve"> is a korábbi évekhez hasonlóan</w:t>
      </w:r>
      <w:r w:rsidRPr="00962821">
        <w:rPr>
          <w:rFonts w:ascii="Times New Roman" w:hAnsi="Times New Roman" w:cs="Times New Roman"/>
          <w:sz w:val="24"/>
          <w:szCs w:val="24"/>
        </w:rPr>
        <w:t xml:space="preserve"> az intézményi stratégiában megfogalmazott feladatok végrehajtása mellett</w:t>
      </w:r>
      <w:r>
        <w:rPr>
          <w:rFonts w:ascii="Times New Roman" w:hAnsi="Times New Roman" w:cs="Times New Roman"/>
          <w:sz w:val="24"/>
          <w:szCs w:val="24"/>
        </w:rPr>
        <w:t xml:space="preserve"> a fenntartó</w:t>
      </w:r>
      <w:r w:rsidRPr="00962821">
        <w:rPr>
          <w:rFonts w:ascii="Times New Roman" w:hAnsi="Times New Roman" w:cs="Times New Roman"/>
          <w:sz w:val="24"/>
          <w:szCs w:val="24"/>
        </w:rPr>
        <w:t xml:space="preserve"> által meghatározott folyamatosan bővülő ügyviteli feladatok,</w:t>
      </w:r>
      <w:r w:rsidR="00BA7054">
        <w:rPr>
          <w:rFonts w:ascii="Times New Roman" w:hAnsi="Times New Roman" w:cs="Times New Roman"/>
          <w:sz w:val="24"/>
          <w:szCs w:val="24"/>
        </w:rPr>
        <w:t xml:space="preserve"> a COVID-19 </w:t>
      </w:r>
      <w:r w:rsidR="007212B1">
        <w:rPr>
          <w:rFonts w:ascii="Times New Roman" w:hAnsi="Times New Roman" w:cs="Times New Roman"/>
          <w:sz w:val="24"/>
          <w:szCs w:val="24"/>
        </w:rPr>
        <w:t>világ</w:t>
      </w:r>
      <w:r w:rsidR="00BA7054">
        <w:rPr>
          <w:rFonts w:ascii="Times New Roman" w:hAnsi="Times New Roman" w:cs="Times New Roman"/>
          <w:sz w:val="24"/>
          <w:szCs w:val="24"/>
        </w:rPr>
        <w:t>járvány által támasztott rendkívüli</w:t>
      </w:r>
      <w:r w:rsidRPr="00962821">
        <w:rPr>
          <w:rFonts w:ascii="Times New Roman" w:hAnsi="Times New Roman" w:cs="Times New Roman"/>
          <w:sz w:val="24"/>
          <w:szCs w:val="24"/>
        </w:rPr>
        <w:t xml:space="preserve"> környezeti feltételek mellett folytatta tevékenységét.</w:t>
      </w:r>
      <w:r>
        <w:rPr>
          <w:rFonts w:ascii="Times New Roman" w:hAnsi="Times New Roman" w:cs="Times New Roman"/>
          <w:sz w:val="24"/>
          <w:szCs w:val="24"/>
        </w:rPr>
        <w:t xml:space="preserve"> Az oktatási és kutatási tevékenységének ellátáshoz </w:t>
      </w:r>
      <w:r w:rsidR="000F4730">
        <w:rPr>
          <w:rFonts w:ascii="Times New Roman" w:hAnsi="Times New Roman" w:cs="Times New Roman"/>
          <w:sz w:val="24"/>
          <w:szCs w:val="24"/>
        </w:rPr>
        <w:t xml:space="preserve">megfelelő </w:t>
      </w:r>
      <w:r>
        <w:rPr>
          <w:rFonts w:ascii="Times New Roman" w:hAnsi="Times New Roman" w:cs="Times New Roman"/>
          <w:sz w:val="24"/>
          <w:szCs w:val="24"/>
        </w:rPr>
        <w:t>forrással rendelkezett.</w:t>
      </w:r>
      <w:r w:rsidR="00657F0E">
        <w:rPr>
          <w:rFonts w:ascii="Times New Roman" w:hAnsi="Times New Roman" w:cs="Times New Roman"/>
          <w:sz w:val="24"/>
          <w:szCs w:val="24"/>
        </w:rPr>
        <w:t xml:space="preserve"> </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 xml:space="preserve">Az Óbudai Egyetemet a dinamikus fejlődés jellemezte a beszámoló időszakban is. A műszaki képzést nyújtó felsőoktatási intézmények élvonalába tartozik, egyike </w:t>
      </w:r>
      <w:r w:rsidRPr="00245711">
        <w:rPr>
          <w:rFonts w:ascii="Times New Roman" w:hAnsi="Times New Roman" w:cs="Times New Roman"/>
          <w:sz w:val="24"/>
          <w:szCs w:val="24"/>
        </w:rPr>
        <w:lastRenderedPageBreak/>
        <w:t xml:space="preserve">a legnépszerűbb és kiemelkedően hallgatóbarát egyetemeknek. Gyakorlatorientált és piacképes képzéseit 7 karon, 3 központban, 4 felsőoktatási szakképzésen, 17 alapszakon és 11 mesterszakon kínál műszaki, informatikai, természettudományi, agrár, gazdaságtudományi és pedagógiai tudományterületen. A mesterfokozattal rendelkezőket pedig 3 doktori iskola tudományos képzési programja várja. </w:t>
      </w:r>
    </w:p>
    <w:p w:rsidR="00245711" w:rsidRPr="00245711" w:rsidRDefault="00245711" w:rsidP="007D0666">
      <w:pPr>
        <w:pStyle w:val="Cmsor2"/>
      </w:pPr>
      <w:r w:rsidRPr="00245711">
        <w:t>Oktatói és hallgatói létszámok</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 xml:space="preserve">Az oktatók minősítettsége igen magas, 71,2%. Az Óbudai Egyetem 2020. augusztus 1-én integrálta a Szent István Egyetemből kivált Ybl Miklós Építéstudományi Kart. Ezzel az oktatók száma 265-ről 309-re emelkedett.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Az Óbudai Egyetem hallgatói létszáma stabil, 2021. március 15-i statisztika szerint az aktív státuszú hallgatók létszáma 10.227 fő volt. A hét féléves alapképzés miatt az őszi félévben a hallgatói létszám mindig ma</w:t>
      </w:r>
      <w:r w:rsidRPr="00245711">
        <w:rPr>
          <w:rFonts w:ascii="Times New Roman" w:hAnsi="Times New Roman" w:cs="Times New Roman"/>
          <w:sz w:val="24"/>
          <w:szCs w:val="24"/>
        </w:rPr>
        <w:lastRenderedPageBreak/>
        <w:t xml:space="preserve">gasabb. A 2020. évben került bevezetésre az alapképzésbe történő felvétel követelményeként az emelt szintű érettségi. Ez országos szinten átlagosan 30%-kal vetette vissza a jelentkezők létszámát. Ennek ellenére az Óbudai Egyetem a 2020/2021. tanévben emelni tudta a hallgató létszámát.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A hallgató/oktató arány igen magas: 46,49. Ez kétszeresen meghaladja a kívánt szintet. Ez azt eredményezi, hogy az órák ellátásának biztosítása érdekében a megbízással foglalkoztatott oktatók száma is igen magas, 356 fő.</w:t>
      </w:r>
    </w:p>
    <w:p w:rsidR="00245711" w:rsidRPr="00245711" w:rsidRDefault="00245711" w:rsidP="00245711">
      <w:pPr>
        <w:jc w:val="center"/>
        <w:rPr>
          <w:rFonts w:ascii="Times New Roman" w:hAnsi="Times New Roman" w:cs="Times New Roman"/>
          <w:sz w:val="24"/>
          <w:szCs w:val="24"/>
        </w:rPr>
      </w:pPr>
      <w:r w:rsidRPr="00245711">
        <w:rPr>
          <w:rFonts w:ascii="Times New Roman" w:hAnsi="Times New Roman" w:cs="Times New Roman"/>
          <w:noProof/>
          <w:sz w:val="24"/>
          <w:szCs w:val="24"/>
          <w:lang w:eastAsia="hu-HU"/>
        </w:rPr>
        <w:drawing>
          <wp:inline distT="0" distB="0" distL="0" distR="0" wp14:anchorId="54E4DA97" wp14:editId="6AA2BD67">
            <wp:extent cx="3987653" cy="2020199"/>
            <wp:effectExtent l="0" t="0" r="0" b="0"/>
            <wp:docPr id="7"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6"/>
                    <pic:cNvPicPr>
                      <a:picLocks noChangeAspect="1"/>
                    </pic:cNvPicPr>
                  </pic:nvPicPr>
                  <pic:blipFill>
                    <a:blip r:embed="rId7"/>
                    <a:stretch>
                      <a:fillRect/>
                    </a:stretch>
                  </pic:blipFill>
                  <pic:spPr>
                    <a:xfrm>
                      <a:off x="0" y="0"/>
                      <a:ext cx="4007971" cy="2030492"/>
                    </a:xfrm>
                    <a:prstGeom prst="rect">
                      <a:avLst/>
                    </a:prstGeom>
                  </pic:spPr>
                </pic:pic>
              </a:graphicData>
            </a:graphic>
          </wp:inline>
        </w:drawing>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lastRenderedPageBreak/>
        <w:t xml:space="preserve">Az Óbudai Egyetemre felvettek fele a Közép-Magyarországi Régióból érkezik, második helyen a Közép-Dunántúli Régió, a harmadikon pedig az Észak-Magyarországi Régió áll. A hallgatóink 30%-a budapesti lakos.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Hallgatóink 5,2 %-a felsőoktatási szakképzésben, 82,39%-</w:t>
      </w:r>
      <w:proofErr w:type="gramStart"/>
      <w:r w:rsidRPr="00245711">
        <w:rPr>
          <w:rFonts w:ascii="Times New Roman" w:hAnsi="Times New Roman" w:cs="Times New Roman"/>
          <w:sz w:val="24"/>
          <w:szCs w:val="24"/>
        </w:rPr>
        <w:t>a</w:t>
      </w:r>
      <w:proofErr w:type="gramEnd"/>
      <w:r w:rsidRPr="00245711">
        <w:rPr>
          <w:rFonts w:ascii="Times New Roman" w:hAnsi="Times New Roman" w:cs="Times New Roman"/>
          <w:sz w:val="24"/>
          <w:szCs w:val="24"/>
        </w:rPr>
        <w:t xml:space="preserve"> alapképzésben, 10,03%-a mesterképzésben vesz részt. Doktori iskolában 137 fő tanult. A fennmaradó létszámot a vendéghallgatók, illetve a nemzetközi képzés hallgatói teszik ki.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A lemorzsolódás elleni intézkedések, a patronáló tanári rendszer bevezetése, a felzárkóztató tanfolyamok, a mentortanári és demonstrátori rendszer kialakítása és fenntartása, valamint a tehetséggondozási rendszer eredményeképpen az oklevelet szerzett hallgatók száma fokozatosan növekszik.</w:t>
      </w:r>
    </w:p>
    <w:p w:rsidR="00245711" w:rsidRPr="00245711" w:rsidRDefault="00245711" w:rsidP="00245711">
      <w:pPr>
        <w:jc w:val="center"/>
        <w:rPr>
          <w:rFonts w:ascii="Times New Roman" w:hAnsi="Times New Roman" w:cs="Times New Roman"/>
          <w:sz w:val="24"/>
          <w:szCs w:val="24"/>
        </w:rPr>
      </w:pPr>
      <w:r w:rsidRPr="00245711">
        <w:rPr>
          <w:rFonts w:ascii="Times New Roman" w:hAnsi="Times New Roman" w:cs="Times New Roman"/>
          <w:noProof/>
          <w:sz w:val="24"/>
          <w:szCs w:val="24"/>
          <w:lang w:eastAsia="hu-HU"/>
        </w:rPr>
        <w:lastRenderedPageBreak/>
        <w:drawing>
          <wp:inline distT="0" distB="0" distL="0" distR="0" wp14:anchorId="0048FD80" wp14:editId="0B31CC41">
            <wp:extent cx="5441542" cy="2314695"/>
            <wp:effectExtent l="0" t="0" r="6985" b="9525"/>
            <wp:docPr id="2"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6"/>
                    <pic:cNvPicPr>
                      <a:picLocks noChangeAspect="1"/>
                    </pic:cNvPicPr>
                  </pic:nvPicPr>
                  <pic:blipFill rotWithShape="1">
                    <a:blip r:embed="rId8"/>
                    <a:srcRect l="3251" t="34667" r="44833" b="26074"/>
                    <a:stretch/>
                  </pic:blipFill>
                  <pic:spPr>
                    <a:xfrm>
                      <a:off x="0" y="0"/>
                      <a:ext cx="5456473" cy="2321046"/>
                    </a:xfrm>
                    <a:prstGeom prst="rect">
                      <a:avLst/>
                    </a:prstGeom>
                  </pic:spPr>
                </pic:pic>
              </a:graphicData>
            </a:graphic>
          </wp:inline>
        </w:drawing>
      </w:r>
    </w:p>
    <w:p w:rsid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 xml:space="preserve">Az Óbudai Egyetem szoros kapcsolatot tart fent a munkaerőpiaccal, amely igen nagyra értékeli az itt folyó minőségi oktatást. Az Oktatási Hivatal által szolgáltatott 2018. évi DPR adatok alapján az Óbudai Egyetemen végzett hallgatók átlag jövedelme igen magas volt, az </w:t>
      </w:r>
      <w:r>
        <w:rPr>
          <w:rFonts w:ascii="Times New Roman" w:hAnsi="Times New Roman" w:cs="Times New Roman"/>
          <w:sz w:val="24"/>
          <w:szCs w:val="24"/>
        </w:rPr>
        <w:t>á</w:t>
      </w:r>
      <w:r w:rsidRPr="00245711">
        <w:rPr>
          <w:rFonts w:ascii="Times New Roman" w:hAnsi="Times New Roman" w:cs="Times New Roman"/>
          <w:sz w:val="24"/>
          <w:szCs w:val="24"/>
        </w:rPr>
        <w:t>lláskereséssel töltött hónapok száma pedig csekély.</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noProof/>
          <w:sz w:val="24"/>
          <w:szCs w:val="24"/>
          <w:lang w:eastAsia="hu-HU"/>
        </w:rPr>
        <w:drawing>
          <wp:inline distT="0" distB="0" distL="0" distR="0" wp14:anchorId="1075884C" wp14:editId="07FA93AF">
            <wp:extent cx="5694446" cy="2990850"/>
            <wp:effectExtent l="0" t="0" r="190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31" t="26937" r="32304" b="9832"/>
                    <a:stretch/>
                  </pic:blipFill>
                  <pic:spPr bwMode="auto">
                    <a:xfrm>
                      <a:off x="0" y="0"/>
                      <a:ext cx="5741279" cy="3015448"/>
                    </a:xfrm>
                    <a:prstGeom prst="rect">
                      <a:avLst/>
                    </a:prstGeom>
                    <a:ln>
                      <a:noFill/>
                    </a:ln>
                    <a:extLst>
                      <a:ext uri="{53640926-AAD7-44D8-BBD7-CCE9431645EC}">
                        <a14:shadowObscured xmlns:a14="http://schemas.microsoft.com/office/drawing/2010/main"/>
                      </a:ext>
                    </a:extLst>
                  </pic:spPr>
                </pic:pic>
              </a:graphicData>
            </a:graphic>
          </wp:inline>
        </w:drawing>
      </w:r>
    </w:p>
    <w:p w:rsidR="00245711" w:rsidRPr="00245711" w:rsidRDefault="00245711" w:rsidP="007D0666">
      <w:pPr>
        <w:pStyle w:val="Cmsor2"/>
      </w:pPr>
      <w:r w:rsidRPr="00245711">
        <w:lastRenderedPageBreak/>
        <w:t>Oktatási portfólió</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 xml:space="preserve">Az Óbudai Egyetem 2016-ban az EU irányelvek szerint az új, kompetencialapú </w:t>
      </w:r>
      <w:proofErr w:type="spellStart"/>
      <w:r w:rsidRPr="00245711">
        <w:rPr>
          <w:rFonts w:ascii="Times New Roman" w:hAnsi="Times New Roman" w:cs="Times New Roman"/>
          <w:sz w:val="24"/>
          <w:szCs w:val="24"/>
        </w:rPr>
        <w:t>KKK-nak</w:t>
      </w:r>
      <w:proofErr w:type="spellEnd"/>
      <w:r w:rsidRPr="00245711">
        <w:rPr>
          <w:rFonts w:ascii="Times New Roman" w:hAnsi="Times New Roman" w:cs="Times New Roman"/>
          <w:sz w:val="24"/>
          <w:szCs w:val="24"/>
        </w:rPr>
        <w:t xml:space="preserve"> megfelelően modern tantervet alakított ki, amelyet a 2017/18. tanévben vezetett be. Az új tanterv bevezetése mind tartalmilag, mind módszertanilag alkalmazkodott az Ipar 4.0 követelményeihez. Szakmai kompetenciák részét képezi az ipari termelés területén elindult technológiai forradalom, a mesterséges intelligencia, a </w:t>
      </w:r>
      <w:proofErr w:type="spellStart"/>
      <w:r w:rsidRPr="00245711">
        <w:rPr>
          <w:rFonts w:ascii="Times New Roman" w:hAnsi="Times New Roman" w:cs="Times New Roman"/>
          <w:sz w:val="24"/>
          <w:szCs w:val="24"/>
        </w:rPr>
        <w:t>robotizáció</w:t>
      </w:r>
      <w:proofErr w:type="spellEnd"/>
      <w:r w:rsidRPr="00245711">
        <w:rPr>
          <w:rFonts w:ascii="Times New Roman" w:hAnsi="Times New Roman" w:cs="Times New Roman"/>
          <w:sz w:val="24"/>
          <w:szCs w:val="24"/>
        </w:rPr>
        <w:t xml:space="preserve">, az automatizált és beágyazott rendszerek, a </w:t>
      </w:r>
      <w:proofErr w:type="spellStart"/>
      <w:r w:rsidRPr="00245711">
        <w:rPr>
          <w:rFonts w:ascii="Times New Roman" w:hAnsi="Times New Roman" w:cs="Times New Roman"/>
          <w:sz w:val="24"/>
          <w:szCs w:val="24"/>
        </w:rPr>
        <w:t>virtualizáció</w:t>
      </w:r>
      <w:proofErr w:type="spellEnd"/>
      <w:r w:rsidRPr="00245711">
        <w:rPr>
          <w:rFonts w:ascii="Times New Roman" w:hAnsi="Times New Roman" w:cs="Times New Roman"/>
          <w:sz w:val="24"/>
          <w:szCs w:val="24"/>
        </w:rPr>
        <w:t xml:space="preserve">, az egészségügyi informatika, a környezetvédelem, megújuló energiaforrások és rendszerek, mobil kommunikáció, anyagtechnológiák, kreatív ipar, a </w:t>
      </w:r>
      <w:proofErr w:type="spellStart"/>
      <w:r w:rsidRPr="00245711">
        <w:rPr>
          <w:rFonts w:ascii="Times New Roman" w:hAnsi="Times New Roman" w:cs="Times New Roman"/>
          <w:sz w:val="24"/>
          <w:szCs w:val="24"/>
        </w:rPr>
        <w:t>kiberbiztonság</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big</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data</w:t>
      </w:r>
      <w:proofErr w:type="spellEnd"/>
      <w:r w:rsidRPr="00245711">
        <w:rPr>
          <w:rFonts w:ascii="Times New Roman" w:hAnsi="Times New Roman" w:cs="Times New Roman"/>
          <w:sz w:val="24"/>
          <w:szCs w:val="24"/>
        </w:rPr>
        <w:t xml:space="preserve">, precíziós gazdálkodás, </w:t>
      </w:r>
      <w:proofErr w:type="spellStart"/>
      <w:r w:rsidRPr="00245711">
        <w:rPr>
          <w:rFonts w:ascii="Times New Roman" w:hAnsi="Times New Roman" w:cs="Times New Roman"/>
          <w:sz w:val="24"/>
          <w:szCs w:val="24"/>
        </w:rPr>
        <w:t>lean</w:t>
      </w:r>
      <w:proofErr w:type="spellEnd"/>
      <w:r w:rsidRPr="00245711">
        <w:rPr>
          <w:rFonts w:ascii="Times New Roman" w:hAnsi="Times New Roman" w:cs="Times New Roman"/>
          <w:sz w:val="24"/>
          <w:szCs w:val="24"/>
        </w:rPr>
        <w:t xml:space="preserve"> management, ellátási láncok és logisztikai rendszerek, </w:t>
      </w:r>
      <w:proofErr w:type="spellStart"/>
      <w:r w:rsidRPr="00245711">
        <w:rPr>
          <w:rFonts w:ascii="Times New Roman" w:hAnsi="Times New Roman" w:cs="Times New Roman"/>
          <w:sz w:val="24"/>
          <w:szCs w:val="24"/>
        </w:rPr>
        <w:t>start-up-ok</w:t>
      </w:r>
      <w:proofErr w:type="spellEnd"/>
      <w:r w:rsidRPr="00245711">
        <w:rPr>
          <w:rFonts w:ascii="Times New Roman" w:hAnsi="Times New Roman" w:cs="Times New Roman"/>
          <w:sz w:val="24"/>
          <w:szCs w:val="24"/>
        </w:rPr>
        <w:t xml:space="preserve">, az üzleti intelligencia és e-marketing.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 xml:space="preserve">Az Óbudai Egyetem vezető szerepet játszik a digitális oktatás bevezetésében. A Kárpát-medencei </w:t>
      </w:r>
      <w:proofErr w:type="spellStart"/>
      <w:r w:rsidRPr="00245711">
        <w:rPr>
          <w:rFonts w:ascii="Times New Roman" w:hAnsi="Times New Roman" w:cs="Times New Roman"/>
          <w:sz w:val="24"/>
          <w:szCs w:val="24"/>
        </w:rPr>
        <w:t>E-</w:t>
      </w:r>
      <w:r w:rsidRPr="00245711">
        <w:rPr>
          <w:rFonts w:ascii="Times New Roman" w:hAnsi="Times New Roman" w:cs="Times New Roman"/>
          <w:sz w:val="24"/>
          <w:szCs w:val="24"/>
        </w:rPr>
        <w:lastRenderedPageBreak/>
        <w:t>learninges</w:t>
      </w:r>
      <w:proofErr w:type="spellEnd"/>
      <w:r w:rsidRPr="00245711">
        <w:rPr>
          <w:rFonts w:ascii="Times New Roman" w:hAnsi="Times New Roman" w:cs="Times New Roman"/>
          <w:sz w:val="24"/>
          <w:szCs w:val="24"/>
        </w:rPr>
        <w:t xml:space="preserve"> oktatási rendszer, a K-MOOC (</w:t>
      </w:r>
      <w:proofErr w:type="spellStart"/>
      <w:r w:rsidRPr="00245711">
        <w:rPr>
          <w:rFonts w:ascii="Times New Roman" w:hAnsi="Times New Roman" w:cs="Times New Roman"/>
          <w:sz w:val="24"/>
          <w:szCs w:val="24"/>
        </w:rPr>
        <w:t>Kárpát-Medencei</w:t>
      </w:r>
      <w:proofErr w:type="spellEnd"/>
      <w:r w:rsidRPr="00245711">
        <w:rPr>
          <w:rFonts w:ascii="Times New Roman" w:hAnsi="Times New Roman" w:cs="Times New Roman"/>
          <w:sz w:val="24"/>
          <w:szCs w:val="24"/>
        </w:rPr>
        <w:t xml:space="preserve"> Online Oktatási Központ) egyedülálló az országban. Minden szakon félévenként két-két </w:t>
      </w:r>
      <w:proofErr w:type="spellStart"/>
      <w:r w:rsidRPr="00245711">
        <w:rPr>
          <w:rFonts w:ascii="Times New Roman" w:hAnsi="Times New Roman" w:cs="Times New Roman"/>
          <w:sz w:val="24"/>
          <w:szCs w:val="24"/>
        </w:rPr>
        <w:t>E-learninges</w:t>
      </w:r>
      <w:proofErr w:type="spellEnd"/>
      <w:r w:rsidRPr="00245711">
        <w:rPr>
          <w:rFonts w:ascii="Times New Roman" w:hAnsi="Times New Roman" w:cs="Times New Roman"/>
          <w:sz w:val="24"/>
          <w:szCs w:val="24"/>
        </w:rPr>
        <w:t xml:space="preserve"> tárgyat tartalmaz az új tanterv (melyet a koronavírustól függetlenül, már 2017-től vezettünk be). Az oktatók évek óta nagy energiát fektettek a tananyagok fejlesztésébe és bevezetésébe, így a vírushelyzet miatt bevezetett karantén idején a digitális oktatásra történő átállás az Egyetem számára nem okozott problémát, nem nőtt, sőt csökkent a lemorzsolódott hallgatók száma.</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 xml:space="preserve">Az új tantervben ugyancsak innovatívnak tekinthető a projekt alapú oktatás bevezetése, amelynek során a hallgatók több féléves, csoportban végzett projekt munkán keresztül jutnak el a szakdolgozat, illetve diplomamunka készítéséhez. Ez a tehetséggondozás részének is tekinthető, hiszen a hallgatók TDK konferencián, </w:t>
      </w:r>
      <w:proofErr w:type="spellStart"/>
      <w:r w:rsidRPr="00245711">
        <w:rPr>
          <w:rFonts w:ascii="Times New Roman" w:hAnsi="Times New Roman" w:cs="Times New Roman"/>
          <w:sz w:val="24"/>
          <w:szCs w:val="24"/>
        </w:rPr>
        <w:t>work-shopokon</w:t>
      </w:r>
      <w:proofErr w:type="spellEnd"/>
      <w:r w:rsidRPr="00245711">
        <w:rPr>
          <w:rFonts w:ascii="Times New Roman" w:hAnsi="Times New Roman" w:cs="Times New Roman"/>
          <w:sz w:val="24"/>
          <w:szCs w:val="24"/>
        </w:rPr>
        <w:t xml:space="preserve"> és tudományos konferenciákon mutathatják be eredményeiket. Az ÚNKP mellett az Egyetem saját </w:t>
      </w:r>
      <w:r w:rsidRPr="00245711">
        <w:rPr>
          <w:rFonts w:ascii="Times New Roman" w:hAnsi="Times New Roman" w:cs="Times New Roman"/>
          <w:sz w:val="24"/>
          <w:szCs w:val="24"/>
        </w:rPr>
        <w:lastRenderedPageBreak/>
        <w:t>ösztöndíj rendszert dolgozott ki a tehetségek támogatására és a továbbtanulás ösztönzésére. Ezzel is törekszik a doktori iskolák hallgatói utánpótlásának, majd később az oktatói utánpótlás biztosítására.</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A gyakorlatorientált képzés másik lényeges eleme a duális képzés 2015-ben történt bevezetése. A 2020/2021. tavaszi félévben a duális képzésben résztvevő aktív hallgatók száma 220 fő. A vidéki régiókban a duális képzés nagyon nagy népszerűségnek örvend, de a fővárosban is sikerült mindezt meghonosítani.</w:t>
      </w:r>
    </w:p>
    <w:p w:rsidR="00245711" w:rsidRPr="00245711" w:rsidRDefault="00245711" w:rsidP="00245711">
      <w:pPr>
        <w:jc w:val="center"/>
        <w:rPr>
          <w:rFonts w:ascii="Times New Roman" w:hAnsi="Times New Roman" w:cs="Times New Roman"/>
          <w:sz w:val="24"/>
          <w:szCs w:val="24"/>
        </w:rPr>
      </w:pPr>
      <w:r w:rsidRPr="00245711">
        <w:rPr>
          <w:rFonts w:ascii="Times New Roman" w:hAnsi="Times New Roman" w:cs="Times New Roman"/>
          <w:noProof/>
          <w:sz w:val="24"/>
          <w:szCs w:val="24"/>
          <w:lang w:eastAsia="hu-HU"/>
        </w:rPr>
        <w:drawing>
          <wp:inline distT="0" distB="0" distL="0" distR="0" wp14:anchorId="33006120" wp14:editId="309AE1D4">
            <wp:extent cx="4082882" cy="2164756"/>
            <wp:effectExtent l="0" t="0" r="0" b="6985"/>
            <wp:docPr id="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pic:cNvPicPr>
                      <a:picLocks noChangeAspect="1"/>
                    </pic:cNvPicPr>
                  </pic:nvPicPr>
                  <pic:blipFill>
                    <a:blip r:embed="rId10"/>
                    <a:stretch>
                      <a:fillRect/>
                    </a:stretch>
                  </pic:blipFill>
                  <pic:spPr>
                    <a:xfrm>
                      <a:off x="0" y="0"/>
                      <a:ext cx="4090392" cy="2168738"/>
                    </a:xfrm>
                    <a:prstGeom prst="rect">
                      <a:avLst/>
                    </a:prstGeom>
                  </pic:spPr>
                </pic:pic>
              </a:graphicData>
            </a:graphic>
          </wp:inline>
        </w:drawing>
      </w:r>
    </w:p>
    <w:p w:rsidR="007D0666" w:rsidRDefault="007D0666">
      <w:pPr>
        <w:rPr>
          <w:rFonts w:ascii="Times New Roman" w:hAnsi="Times New Roman" w:cs="Times New Roman"/>
          <w:sz w:val="24"/>
          <w:szCs w:val="24"/>
        </w:rPr>
      </w:pPr>
      <w:r>
        <w:rPr>
          <w:rFonts w:ascii="Times New Roman" w:hAnsi="Times New Roman" w:cs="Times New Roman"/>
          <w:sz w:val="24"/>
          <w:szCs w:val="24"/>
        </w:rPr>
        <w:br w:type="page"/>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lastRenderedPageBreak/>
        <w:t>Az Óbudai Egyetem képzései</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ALBA REGIA MŰSZAKI KAR (SZÉKESFEHÉRVÁR)</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gépészmérnöki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villamosmérnöki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műszaki menedzser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mérnökinformatikus (felsőoktatási szakképzés (</w:t>
      </w:r>
      <w:proofErr w:type="spellStart"/>
      <w:r w:rsidRPr="00245711">
        <w:rPr>
          <w:rFonts w:ascii="Times New Roman" w:hAnsi="Times New Roman" w:cs="Times New Roman"/>
          <w:sz w:val="24"/>
          <w:szCs w:val="24"/>
        </w:rPr>
        <w:t>FOKSz</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földmérő és földrendező 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3"/>
        </w:numPr>
        <w:rPr>
          <w:rFonts w:ascii="Times New Roman" w:hAnsi="Times New Roman" w:cs="Times New Roman"/>
          <w:sz w:val="24"/>
          <w:szCs w:val="24"/>
        </w:rPr>
      </w:pPr>
      <w:r w:rsidRPr="00245711">
        <w:rPr>
          <w:rFonts w:ascii="Times New Roman" w:hAnsi="Times New Roman" w:cs="Times New Roman"/>
          <w:sz w:val="24"/>
          <w:szCs w:val="24"/>
        </w:rPr>
        <w:t>mechatronikai mérnöki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BÁNKI DONÁT GÉPÉSZ ÉS BIZTONSÁGTECHNIKAI MÉRNÖKI KAR </w:t>
      </w:r>
    </w:p>
    <w:p w:rsidR="00245711" w:rsidRPr="00245711" w:rsidRDefault="00245711" w:rsidP="00245711">
      <w:pPr>
        <w:pStyle w:val="Listaszerbekezds"/>
        <w:numPr>
          <w:ilvl w:val="0"/>
          <w:numId w:val="4"/>
        </w:numPr>
        <w:rPr>
          <w:rFonts w:ascii="Times New Roman" w:hAnsi="Times New Roman" w:cs="Times New Roman"/>
          <w:sz w:val="24"/>
          <w:szCs w:val="24"/>
        </w:rPr>
      </w:pPr>
      <w:r w:rsidRPr="00245711">
        <w:rPr>
          <w:rFonts w:ascii="Times New Roman" w:hAnsi="Times New Roman" w:cs="Times New Roman"/>
          <w:sz w:val="24"/>
          <w:szCs w:val="24"/>
        </w:rPr>
        <w:t>gépészmérnöki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4"/>
        </w:numPr>
        <w:rPr>
          <w:rFonts w:ascii="Times New Roman" w:hAnsi="Times New Roman" w:cs="Times New Roman"/>
          <w:sz w:val="24"/>
          <w:szCs w:val="24"/>
        </w:rPr>
      </w:pPr>
      <w:r w:rsidRPr="00245711">
        <w:rPr>
          <w:rFonts w:ascii="Times New Roman" w:hAnsi="Times New Roman" w:cs="Times New Roman"/>
          <w:sz w:val="24"/>
          <w:szCs w:val="24"/>
        </w:rPr>
        <w:t>biztonságtechnikai 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4"/>
        </w:numPr>
        <w:rPr>
          <w:rFonts w:ascii="Times New Roman" w:hAnsi="Times New Roman" w:cs="Times New Roman"/>
          <w:sz w:val="24"/>
          <w:szCs w:val="24"/>
        </w:rPr>
      </w:pPr>
      <w:r w:rsidRPr="00245711">
        <w:rPr>
          <w:rFonts w:ascii="Times New Roman" w:hAnsi="Times New Roman" w:cs="Times New Roman"/>
          <w:sz w:val="24"/>
          <w:szCs w:val="24"/>
        </w:rPr>
        <w:t>mechatronikai 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KELETI KÁROLY GAZDASÁGI KAR </w:t>
      </w:r>
    </w:p>
    <w:p w:rsidR="00245711" w:rsidRPr="00245711" w:rsidRDefault="00245711" w:rsidP="00245711">
      <w:pPr>
        <w:pStyle w:val="Listaszerbekezds"/>
        <w:numPr>
          <w:ilvl w:val="0"/>
          <w:numId w:val="5"/>
        </w:numPr>
        <w:rPr>
          <w:rFonts w:ascii="Times New Roman" w:hAnsi="Times New Roman" w:cs="Times New Roman"/>
          <w:sz w:val="24"/>
          <w:szCs w:val="24"/>
        </w:rPr>
      </w:pPr>
      <w:r w:rsidRPr="00245711">
        <w:rPr>
          <w:rFonts w:ascii="Times New Roman" w:hAnsi="Times New Roman" w:cs="Times New Roman"/>
          <w:sz w:val="24"/>
          <w:szCs w:val="24"/>
        </w:rPr>
        <w:t>gazdálkodási és menedzsment (</w:t>
      </w:r>
      <w:proofErr w:type="spellStart"/>
      <w:r w:rsidRPr="00245711">
        <w:rPr>
          <w:rFonts w:ascii="Times New Roman" w:hAnsi="Times New Roman" w:cs="Times New Roman"/>
          <w:sz w:val="24"/>
          <w:szCs w:val="24"/>
        </w:rPr>
        <w:t>FOKSz</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5"/>
        </w:numPr>
        <w:rPr>
          <w:rFonts w:ascii="Times New Roman" w:hAnsi="Times New Roman" w:cs="Times New Roman"/>
          <w:sz w:val="24"/>
          <w:szCs w:val="24"/>
        </w:rPr>
      </w:pPr>
      <w:r w:rsidRPr="00245711">
        <w:rPr>
          <w:rFonts w:ascii="Times New Roman" w:hAnsi="Times New Roman" w:cs="Times New Roman"/>
          <w:sz w:val="24"/>
          <w:szCs w:val="24"/>
        </w:rPr>
        <w:t>kereskedelem és marketing (</w:t>
      </w:r>
      <w:proofErr w:type="spellStart"/>
      <w:r w:rsidRPr="00245711">
        <w:rPr>
          <w:rFonts w:ascii="Times New Roman" w:hAnsi="Times New Roman" w:cs="Times New Roman"/>
          <w:sz w:val="24"/>
          <w:szCs w:val="24"/>
        </w:rPr>
        <w:t>FOKSz</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5"/>
        </w:numPr>
        <w:rPr>
          <w:rFonts w:ascii="Times New Roman" w:hAnsi="Times New Roman" w:cs="Times New Roman"/>
          <w:sz w:val="24"/>
          <w:szCs w:val="24"/>
        </w:rPr>
      </w:pPr>
      <w:r w:rsidRPr="00245711">
        <w:rPr>
          <w:rFonts w:ascii="Times New Roman" w:hAnsi="Times New Roman" w:cs="Times New Roman"/>
          <w:sz w:val="24"/>
          <w:szCs w:val="24"/>
        </w:rPr>
        <w:lastRenderedPageBreak/>
        <w:t>gazdaságinformatikus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5"/>
        </w:numPr>
        <w:rPr>
          <w:rFonts w:ascii="Times New Roman" w:hAnsi="Times New Roman" w:cs="Times New Roman"/>
          <w:sz w:val="24"/>
          <w:szCs w:val="24"/>
        </w:rPr>
      </w:pPr>
      <w:r w:rsidRPr="00245711">
        <w:rPr>
          <w:rFonts w:ascii="Times New Roman" w:hAnsi="Times New Roman" w:cs="Times New Roman"/>
          <w:sz w:val="24"/>
          <w:szCs w:val="24"/>
        </w:rPr>
        <w:t>műszaki menedzser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5"/>
        </w:numPr>
        <w:rPr>
          <w:rFonts w:ascii="Times New Roman" w:hAnsi="Times New Roman" w:cs="Times New Roman"/>
          <w:sz w:val="24"/>
          <w:szCs w:val="24"/>
        </w:rPr>
      </w:pPr>
      <w:r w:rsidRPr="00245711">
        <w:rPr>
          <w:rFonts w:ascii="Times New Roman" w:hAnsi="Times New Roman" w:cs="Times New Roman"/>
          <w:sz w:val="24"/>
          <w:szCs w:val="24"/>
        </w:rPr>
        <w:t>vállalkozásfejlesztés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KANDÓ KÁLMÁN VILLAMOSMÉRNÖKI KAR </w:t>
      </w:r>
    </w:p>
    <w:p w:rsidR="00245711" w:rsidRPr="00245711" w:rsidRDefault="00245711" w:rsidP="00245711">
      <w:pPr>
        <w:pStyle w:val="Listaszerbekezds"/>
        <w:numPr>
          <w:ilvl w:val="0"/>
          <w:numId w:val="6"/>
        </w:numPr>
        <w:rPr>
          <w:rFonts w:ascii="Times New Roman" w:hAnsi="Times New Roman" w:cs="Times New Roman"/>
          <w:sz w:val="24"/>
          <w:szCs w:val="24"/>
        </w:rPr>
      </w:pPr>
      <w:r w:rsidRPr="00245711">
        <w:rPr>
          <w:rFonts w:ascii="Times New Roman" w:hAnsi="Times New Roman" w:cs="Times New Roman"/>
          <w:sz w:val="24"/>
          <w:szCs w:val="24"/>
        </w:rPr>
        <w:t>villamosmérnök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6"/>
        </w:numPr>
        <w:rPr>
          <w:rFonts w:ascii="Times New Roman" w:hAnsi="Times New Roman" w:cs="Times New Roman"/>
          <w:sz w:val="24"/>
          <w:szCs w:val="24"/>
        </w:rPr>
      </w:pPr>
      <w:r w:rsidRPr="00245711">
        <w:rPr>
          <w:rFonts w:ascii="Times New Roman" w:hAnsi="Times New Roman" w:cs="Times New Roman"/>
          <w:sz w:val="24"/>
          <w:szCs w:val="24"/>
        </w:rPr>
        <w:t>szakoktató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w:t>
      </w:r>
    </w:p>
    <w:p w:rsidR="00245711" w:rsidRPr="00245711" w:rsidRDefault="00245711" w:rsidP="00245711">
      <w:pPr>
        <w:pStyle w:val="Listaszerbekezds"/>
        <w:numPr>
          <w:ilvl w:val="0"/>
          <w:numId w:val="6"/>
        </w:numPr>
        <w:rPr>
          <w:rFonts w:ascii="Times New Roman" w:hAnsi="Times New Roman" w:cs="Times New Roman"/>
          <w:sz w:val="24"/>
          <w:szCs w:val="24"/>
        </w:rPr>
      </w:pPr>
      <w:r w:rsidRPr="00245711">
        <w:rPr>
          <w:rFonts w:ascii="Times New Roman" w:hAnsi="Times New Roman" w:cs="Times New Roman"/>
          <w:sz w:val="24"/>
          <w:szCs w:val="24"/>
        </w:rPr>
        <w:t>mérnök tanár (Ma)</w:t>
      </w:r>
    </w:p>
    <w:p w:rsidR="00245711" w:rsidRPr="00245711" w:rsidRDefault="00245711" w:rsidP="00245711">
      <w:pPr>
        <w:keepNext/>
        <w:spacing w:after="0"/>
        <w:rPr>
          <w:rFonts w:ascii="Times New Roman" w:hAnsi="Times New Roman" w:cs="Times New Roman"/>
          <w:sz w:val="24"/>
          <w:szCs w:val="24"/>
        </w:rPr>
      </w:pPr>
      <w:r w:rsidRPr="00245711">
        <w:rPr>
          <w:rFonts w:ascii="Times New Roman" w:hAnsi="Times New Roman" w:cs="Times New Roman"/>
          <w:sz w:val="24"/>
          <w:szCs w:val="24"/>
        </w:rPr>
        <w:t xml:space="preserve">NEUMANN JÁNOS INFORMATIKAI KAR </w:t>
      </w:r>
    </w:p>
    <w:p w:rsidR="00245711" w:rsidRPr="00245711" w:rsidRDefault="00245711" w:rsidP="00245711">
      <w:pPr>
        <w:pStyle w:val="Listaszerbekezds"/>
        <w:numPr>
          <w:ilvl w:val="0"/>
          <w:numId w:val="7"/>
        </w:numPr>
        <w:rPr>
          <w:rFonts w:ascii="Times New Roman" w:hAnsi="Times New Roman" w:cs="Times New Roman"/>
          <w:sz w:val="24"/>
          <w:szCs w:val="24"/>
        </w:rPr>
      </w:pPr>
      <w:r w:rsidRPr="00245711">
        <w:rPr>
          <w:rFonts w:ascii="Times New Roman" w:hAnsi="Times New Roman" w:cs="Times New Roman"/>
          <w:sz w:val="24"/>
          <w:szCs w:val="24"/>
        </w:rPr>
        <w:t>üzemmérnök-informatikus (</w:t>
      </w:r>
      <w:proofErr w:type="spellStart"/>
      <w:r w:rsidRPr="00245711">
        <w:rPr>
          <w:rFonts w:ascii="Times New Roman" w:hAnsi="Times New Roman" w:cs="Times New Roman"/>
          <w:sz w:val="24"/>
          <w:szCs w:val="24"/>
        </w:rPr>
        <w:t>BProf</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7"/>
        </w:numPr>
        <w:rPr>
          <w:rFonts w:ascii="Times New Roman" w:hAnsi="Times New Roman" w:cs="Times New Roman"/>
          <w:sz w:val="24"/>
          <w:szCs w:val="24"/>
        </w:rPr>
      </w:pPr>
      <w:r w:rsidRPr="00245711">
        <w:rPr>
          <w:rFonts w:ascii="Times New Roman" w:hAnsi="Times New Roman" w:cs="Times New Roman"/>
          <w:sz w:val="24"/>
          <w:szCs w:val="24"/>
        </w:rPr>
        <w:t>mérnökinformatikus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7"/>
        </w:numPr>
        <w:rPr>
          <w:rFonts w:ascii="Times New Roman" w:hAnsi="Times New Roman" w:cs="Times New Roman"/>
          <w:sz w:val="24"/>
          <w:szCs w:val="24"/>
        </w:rPr>
      </w:pPr>
      <w:r w:rsidRPr="00245711">
        <w:rPr>
          <w:rFonts w:ascii="Times New Roman" w:hAnsi="Times New Roman" w:cs="Times New Roman"/>
          <w:sz w:val="24"/>
          <w:szCs w:val="24"/>
        </w:rPr>
        <w:t>alkalmazott matematikus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REJTŐ SÁNDOR KÖNNYŰIPARI ÉS KÖRNYEZETMÉRNÖKI KAR </w:t>
      </w:r>
    </w:p>
    <w:p w:rsidR="00245711" w:rsidRPr="00245711" w:rsidRDefault="00245711" w:rsidP="00245711">
      <w:pPr>
        <w:pStyle w:val="Listaszerbekezds"/>
        <w:numPr>
          <w:ilvl w:val="0"/>
          <w:numId w:val="8"/>
        </w:numPr>
        <w:rPr>
          <w:rFonts w:ascii="Times New Roman" w:hAnsi="Times New Roman" w:cs="Times New Roman"/>
          <w:sz w:val="24"/>
          <w:szCs w:val="24"/>
        </w:rPr>
      </w:pPr>
      <w:r w:rsidRPr="00245711">
        <w:rPr>
          <w:rFonts w:ascii="Times New Roman" w:hAnsi="Times New Roman" w:cs="Times New Roman"/>
          <w:sz w:val="24"/>
          <w:szCs w:val="24"/>
        </w:rPr>
        <w:t>műszaki (</w:t>
      </w:r>
      <w:proofErr w:type="spellStart"/>
      <w:r w:rsidRPr="00245711">
        <w:rPr>
          <w:rFonts w:ascii="Times New Roman" w:hAnsi="Times New Roman" w:cs="Times New Roman"/>
          <w:sz w:val="24"/>
          <w:szCs w:val="24"/>
        </w:rPr>
        <w:t>FOKSz</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8"/>
        </w:numPr>
        <w:rPr>
          <w:rFonts w:ascii="Times New Roman" w:hAnsi="Times New Roman" w:cs="Times New Roman"/>
          <w:sz w:val="24"/>
          <w:szCs w:val="24"/>
        </w:rPr>
      </w:pPr>
      <w:r w:rsidRPr="00245711">
        <w:rPr>
          <w:rFonts w:ascii="Times New Roman" w:hAnsi="Times New Roman" w:cs="Times New Roman"/>
          <w:sz w:val="24"/>
          <w:szCs w:val="24"/>
        </w:rPr>
        <w:t>ipari termék- és formatervező 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8"/>
        </w:numPr>
        <w:rPr>
          <w:rFonts w:ascii="Times New Roman" w:hAnsi="Times New Roman" w:cs="Times New Roman"/>
          <w:sz w:val="24"/>
          <w:szCs w:val="24"/>
        </w:rPr>
      </w:pPr>
      <w:r w:rsidRPr="00245711">
        <w:rPr>
          <w:rFonts w:ascii="Times New Roman" w:hAnsi="Times New Roman" w:cs="Times New Roman"/>
          <w:sz w:val="24"/>
          <w:szCs w:val="24"/>
        </w:rPr>
        <w:t>könnyűipari 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8"/>
        </w:numPr>
        <w:rPr>
          <w:rFonts w:ascii="Times New Roman" w:hAnsi="Times New Roman" w:cs="Times New Roman"/>
          <w:sz w:val="24"/>
          <w:szCs w:val="24"/>
        </w:rPr>
      </w:pPr>
      <w:r w:rsidRPr="00245711">
        <w:rPr>
          <w:rFonts w:ascii="Times New Roman" w:hAnsi="Times New Roman" w:cs="Times New Roman"/>
          <w:sz w:val="24"/>
          <w:szCs w:val="24"/>
        </w:rPr>
        <w:t>környezetmérnöki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pStyle w:val="Listaszerbekezds"/>
        <w:numPr>
          <w:ilvl w:val="0"/>
          <w:numId w:val="8"/>
        </w:numPr>
        <w:rPr>
          <w:rFonts w:ascii="Times New Roman" w:hAnsi="Times New Roman" w:cs="Times New Roman"/>
          <w:sz w:val="24"/>
          <w:szCs w:val="24"/>
        </w:rPr>
      </w:pPr>
      <w:r w:rsidRPr="00245711">
        <w:rPr>
          <w:rFonts w:ascii="Times New Roman" w:hAnsi="Times New Roman" w:cs="Times New Roman"/>
          <w:sz w:val="24"/>
          <w:szCs w:val="24"/>
        </w:rPr>
        <w:lastRenderedPageBreak/>
        <w:t>ipari terméktervező mérnöki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YBL MIKLÓS ÉPÍTÉSTUDOMÁNYI KAR</w:t>
      </w:r>
    </w:p>
    <w:p w:rsidR="00245711" w:rsidRPr="00245711" w:rsidRDefault="00245711" w:rsidP="00245711">
      <w:pPr>
        <w:pStyle w:val="Listaszerbekezds"/>
        <w:numPr>
          <w:ilvl w:val="0"/>
          <w:numId w:val="11"/>
        </w:numPr>
        <w:rPr>
          <w:rFonts w:ascii="Times New Roman" w:hAnsi="Times New Roman" w:cs="Times New Roman"/>
          <w:sz w:val="24"/>
          <w:szCs w:val="24"/>
        </w:rPr>
      </w:pPr>
      <w:r w:rsidRPr="00245711">
        <w:rPr>
          <w:rFonts w:ascii="Times New Roman" w:hAnsi="Times New Roman" w:cs="Times New Roman"/>
          <w:sz w:val="24"/>
          <w:szCs w:val="24"/>
        </w:rPr>
        <w:t>építészmérnöki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w:t>
      </w:r>
    </w:p>
    <w:p w:rsidR="00245711" w:rsidRPr="00245711" w:rsidRDefault="00245711" w:rsidP="00245711">
      <w:pPr>
        <w:pStyle w:val="Listaszerbekezds"/>
        <w:numPr>
          <w:ilvl w:val="0"/>
          <w:numId w:val="11"/>
        </w:numPr>
        <w:rPr>
          <w:rFonts w:ascii="Times New Roman" w:hAnsi="Times New Roman" w:cs="Times New Roman"/>
          <w:sz w:val="24"/>
          <w:szCs w:val="24"/>
        </w:rPr>
      </w:pPr>
      <w:r w:rsidRPr="00245711">
        <w:rPr>
          <w:rFonts w:ascii="Times New Roman" w:hAnsi="Times New Roman" w:cs="Times New Roman"/>
          <w:sz w:val="24"/>
          <w:szCs w:val="24"/>
        </w:rPr>
        <w:t>építőmérnöki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w:t>
      </w:r>
    </w:p>
    <w:p w:rsidR="00245711" w:rsidRPr="00245711" w:rsidRDefault="00245711" w:rsidP="00245711">
      <w:pPr>
        <w:pStyle w:val="Listaszerbekezds"/>
        <w:numPr>
          <w:ilvl w:val="0"/>
          <w:numId w:val="11"/>
        </w:numPr>
        <w:rPr>
          <w:rFonts w:ascii="Times New Roman" w:hAnsi="Times New Roman" w:cs="Times New Roman"/>
          <w:sz w:val="24"/>
          <w:szCs w:val="24"/>
        </w:rPr>
      </w:pPr>
      <w:r w:rsidRPr="00245711">
        <w:rPr>
          <w:rFonts w:ascii="Times New Roman" w:hAnsi="Times New Roman" w:cs="Times New Roman"/>
          <w:sz w:val="24"/>
          <w:szCs w:val="24"/>
        </w:rPr>
        <w:t>építész (</w:t>
      </w:r>
      <w:proofErr w:type="spellStart"/>
      <w:r w:rsidRPr="00245711">
        <w:rPr>
          <w:rFonts w:ascii="Times New Roman" w:hAnsi="Times New Roman" w:cs="Times New Roman"/>
          <w:sz w:val="24"/>
          <w:szCs w:val="24"/>
        </w:rPr>
        <w:t>MSc</w:t>
      </w:r>
      <w:proofErr w:type="spellEnd"/>
      <w:r w:rsidRPr="00245711">
        <w:rPr>
          <w:rFonts w:ascii="Times New Roman" w:hAnsi="Times New Roman" w:cs="Times New Roman"/>
          <w:sz w:val="24"/>
          <w:szCs w:val="24"/>
        </w:rPr>
        <w:t>)</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SALGÓTARJÁNI KÉPZÉSI KÖZPONT ÉS KUTATÓHELY </w:t>
      </w:r>
    </w:p>
    <w:p w:rsidR="00245711" w:rsidRPr="00245711" w:rsidRDefault="00245711" w:rsidP="00245711">
      <w:pPr>
        <w:pStyle w:val="Listaszerbekezds"/>
        <w:numPr>
          <w:ilvl w:val="0"/>
          <w:numId w:val="9"/>
        </w:numPr>
        <w:rPr>
          <w:rFonts w:ascii="Times New Roman" w:hAnsi="Times New Roman" w:cs="Times New Roman"/>
          <w:sz w:val="24"/>
          <w:szCs w:val="24"/>
        </w:rPr>
      </w:pPr>
      <w:r w:rsidRPr="00245711">
        <w:rPr>
          <w:rFonts w:ascii="Times New Roman" w:hAnsi="Times New Roman" w:cs="Times New Roman"/>
          <w:sz w:val="24"/>
          <w:szCs w:val="24"/>
        </w:rPr>
        <w:t>mérnökinformatikus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 xml:space="preserve">KISVÁRDA KÖZÖSSÉGI FELSŐOKTATÁSI KÉPZÉSI KÖZPONT </w:t>
      </w:r>
    </w:p>
    <w:p w:rsidR="00245711" w:rsidRPr="00245711" w:rsidRDefault="00245711" w:rsidP="00245711">
      <w:pPr>
        <w:pStyle w:val="Listaszerbekezds"/>
        <w:numPr>
          <w:ilvl w:val="0"/>
          <w:numId w:val="10"/>
        </w:numPr>
        <w:rPr>
          <w:rFonts w:ascii="Times New Roman" w:hAnsi="Times New Roman" w:cs="Times New Roman"/>
          <w:sz w:val="24"/>
          <w:szCs w:val="24"/>
        </w:rPr>
      </w:pPr>
      <w:r w:rsidRPr="00245711">
        <w:rPr>
          <w:rFonts w:ascii="Times New Roman" w:hAnsi="Times New Roman" w:cs="Times New Roman"/>
          <w:sz w:val="24"/>
          <w:szCs w:val="24"/>
        </w:rPr>
        <w:t>mérnökinformatikus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keepNext/>
        <w:spacing w:after="0"/>
        <w:rPr>
          <w:rFonts w:ascii="Times New Roman" w:hAnsi="Times New Roman" w:cs="Times New Roman"/>
          <w:sz w:val="24"/>
          <w:szCs w:val="24"/>
        </w:rPr>
      </w:pPr>
      <w:r w:rsidRPr="00245711">
        <w:rPr>
          <w:rFonts w:ascii="Times New Roman" w:hAnsi="Times New Roman" w:cs="Times New Roman"/>
          <w:sz w:val="24"/>
          <w:szCs w:val="24"/>
        </w:rPr>
        <w:t>NYÍRBÁTOR KÖZÖSSÉGI FELSŐOKTATÁSI KÉPZÉSI KÖZPONT</w:t>
      </w:r>
    </w:p>
    <w:p w:rsidR="00245711" w:rsidRPr="00245711" w:rsidRDefault="00245711" w:rsidP="00245711">
      <w:pPr>
        <w:pStyle w:val="Listaszerbekezds"/>
        <w:numPr>
          <w:ilvl w:val="0"/>
          <w:numId w:val="10"/>
        </w:numPr>
        <w:rPr>
          <w:rFonts w:ascii="Times New Roman" w:hAnsi="Times New Roman" w:cs="Times New Roman"/>
          <w:sz w:val="24"/>
          <w:szCs w:val="24"/>
        </w:rPr>
      </w:pPr>
      <w:r w:rsidRPr="00245711">
        <w:rPr>
          <w:rFonts w:ascii="Times New Roman" w:hAnsi="Times New Roman" w:cs="Times New Roman"/>
          <w:sz w:val="24"/>
          <w:szCs w:val="24"/>
        </w:rPr>
        <w:t>mérnökinformatikus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245711">
      <w:pPr>
        <w:spacing w:after="0"/>
        <w:rPr>
          <w:rFonts w:ascii="Times New Roman" w:hAnsi="Times New Roman" w:cs="Times New Roman"/>
          <w:sz w:val="24"/>
          <w:szCs w:val="24"/>
        </w:rPr>
      </w:pPr>
      <w:r w:rsidRPr="00245711">
        <w:rPr>
          <w:rFonts w:ascii="Times New Roman" w:hAnsi="Times New Roman" w:cs="Times New Roman"/>
          <w:sz w:val="24"/>
          <w:szCs w:val="24"/>
        </w:rPr>
        <w:t>KIHELYEZETT KÉPZÉS A MATE KAPOSVÁRI CAMPUS-ÁN</w:t>
      </w:r>
    </w:p>
    <w:p w:rsidR="00245711" w:rsidRPr="00245711" w:rsidRDefault="00245711" w:rsidP="00245711">
      <w:pPr>
        <w:pStyle w:val="Listaszerbekezds"/>
        <w:numPr>
          <w:ilvl w:val="0"/>
          <w:numId w:val="6"/>
        </w:numPr>
        <w:rPr>
          <w:rFonts w:ascii="Times New Roman" w:hAnsi="Times New Roman" w:cs="Times New Roman"/>
          <w:sz w:val="24"/>
          <w:szCs w:val="24"/>
        </w:rPr>
      </w:pPr>
      <w:r w:rsidRPr="00245711">
        <w:rPr>
          <w:rFonts w:ascii="Times New Roman" w:hAnsi="Times New Roman" w:cs="Times New Roman"/>
          <w:sz w:val="24"/>
          <w:szCs w:val="24"/>
        </w:rPr>
        <w:t>villamosmérnök (</w:t>
      </w:r>
      <w:proofErr w:type="spellStart"/>
      <w:r w:rsidRPr="00245711">
        <w:rPr>
          <w:rFonts w:ascii="Times New Roman" w:hAnsi="Times New Roman" w:cs="Times New Roman"/>
          <w:sz w:val="24"/>
          <w:szCs w:val="24"/>
        </w:rPr>
        <w:t>BSc</w:t>
      </w:r>
      <w:proofErr w:type="spellEnd"/>
      <w:r w:rsidRPr="00245711">
        <w:rPr>
          <w:rFonts w:ascii="Times New Roman" w:hAnsi="Times New Roman" w:cs="Times New Roman"/>
          <w:sz w:val="24"/>
          <w:szCs w:val="24"/>
        </w:rPr>
        <w:t xml:space="preserve">) </w:t>
      </w:r>
    </w:p>
    <w:p w:rsidR="00245711" w:rsidRPr="00245711" w:rsidRDefault="00245711" w:rsidP="007D0666">
      <w:pPr>
        <w:pStyle w:val="Cmsor2"/>
      </w:pPr>
      <w:r w:rsidRPr="00245711">
        <w:lastRenderedPageBreak/>
        <w:t>Fogyatékkal élő hallgatók</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Az Óbudai Egyetem Esélyegyenlőségi Bizottsága foglalkozik a fogyatékkal élő hallgatók problémáival, amelyet az egyetemi esélyegyenlőségi koordinátor vezet. 2020/2021. tanév tavaszi félévében 159 fő kért segítséget. A bizottság munkáját és a hallgatók tanulási folyamatát kari esélyegyenlőségi koordinátorok, demonstrátor hallgatók, egy gyógypedagógus és két szakpszichológus támogatja.</w:t>
      </w:r>
    </w:p>
    <w:p w:rsidR="00245711" w:rsidRPr="00245711" w:rsidRDefault="00245711" w:rsidP="00245711">
      <w:pPr>
        <w:jc w:val="center"/>
        <w:rPr>
          <w:rFonts w:ascii="Times New Roman" w:hAnsi="Times New Roman" w:cs="Times New Roman"/>
          <w:sz w:val="24"/>
          <w:szCs w:val="24"/>
        </w:rPr>
      </w:pPr>
      <w:r w:rsidRPr="00245711">
        <w:rPr>
          <w:rFonts w:ascii="Times New Roman" w:hAnsi="Times New Roman" w:cs="Times New Roman"/>
          <w:noProof/>
          <w:sz w:val="24"/>
          <w:szCs w:val="24"/>
          <w:lang w:eastAsia="hu-HU"/>
        </w:rPr>
        <w:drawing>
          <wp:inline distT="0" distB="0" distL="0" distR="0" wp14:anchorId="40D65200" wp14:editId="7914B33C">
            <wp:extent cx="3538623" cy="2077849"/>
            <wp:effectExtent l="0" t="0" r="5080" b="0"/>
            <wp:docPr id="10"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pic:cNvPicPr>
                      <a:picLocks noChangeAspect="1"/>
                    </pic:cNvPicPr>
                  </pic:nvPicPr>
                  <pic:blipFill>
                    <a:blip r:embed="rId11"/>
                    <a:stretch>
                      <a:fillRect/>
                    </a:stretch>
                  </pic:blipFill>
                  <pic:spPr>
                    <a:xfrm>
                      <a:off x="0" y="0"/>
                      <a:ext cx="3550561" cy="2084859"/>
                    </a:xfrm>
                    <a:prstGeom prst="rect">
                      <a:avLst/>
                    </a:prstGeom>
                  </pic:spPr>
                </pic:pic>
              </a:graphicData>
            </a:graphic>
          </wp:inline>
        </w:drawing>
      </w:r>
    </w:p>
    <w:p w:rsidR="00245711" w:rsidRPr="00245711" w:rsidRDefault="00245711" w:rsidP="007D0666">
      <w:pPr>
        <w:pStyle w:val="Cmsor2"/>
      </w:pPr>
      <w:r w:rsidRPr="00245711">
        <w:t>Nemzetközi kapcsolatok</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Az Óbudai Egyetem közel 140 nemzetközi felsőoktatási intézménnyel tart fent oktatási és tudományos kapcsolatot világszerte, melyek elsősorban az Egye</w:t>
      </w:r>
      <w:r w:rsidRPr="00245711">
        <w:rPr>
          <w:rFonts w:ascii="Times New Roman" w:hAnsi="Times New Roman" w:cs="Times New Roman"/>
          <w:sz w:val="24"/>
          <w:szCs w:val="24"/>
        </w:rPr>
        <w:lastRenderedPageBreak/>
        <w:t xml:space="preserve">tem négy stratégiailag meghatározott területére fókuszálnak: orvosi informatika, robotika, </w:t>
      </w:r>
      <w:proofErr w:type="spellStart"/>
      <w:r w:rsidRPr="00245711">
        <w:rPr>
          <w:rFonts w:ascii="Times New Roman" w:hAnsi="Times New Roman" w:cs="Times New Roman"/>
          <w:sz w:val="24"/>
          <w:szCs w:val="24"/>
        </w:rPr>
        <w:t>kiberbiztonság</w:t>
      </w:r>
      <w:proofErr w:type="spellEnd"/>
      <w:r w:rsidRPr="00245711">
        <w:rPr>
          <w:rFonts w:ascii="Times New Roman" w:hAnsi="Times New Roman" w:cs="Times New Roman"/>
          <w:sz w:val="24"/>
          <w:szCs w:val="24"/>
        </w:rPr>
        <w:t xml:space="preserve"> és mesterséges intelligencia.</w:t>
      </w:r>
    </w:p>
    <w:p w:rsidR="00245711" w:rsidRPr="00245711" w:rsidRDefault="00245711" w:rsidP="00245711">
      <w:pPr>
        <w:rPr>
          <w:rFonts w:ascii="Times New Roman" w:hAnsi="Times New Roman" w:cs="Times New Roman"/>
          <w:sz w:val="24"/>
          <w:szCs w:val="24"/>
        </w:rPr>
      </w:pPr>
      <w:r w:rsidRPr="00245711">
        <w:rPr>
          <w:rFonts w:ascii="Times New Roman" w:hAnsi="Times New Roman" w:cs="Times New Roman"/>
          <w:sz w:val="24"/>
          <w:szCs w:val="24"/>
        </w:rPr>
        <w:t xml:space="preserve">A határon túl magyar nyelven, illetve Magyarországon angol nyelven is folytat képzést. A </w:t>
      </w:r>
      <w:proofErr w:type="spellStart"/>
      <w:r w:rsidRPr="00245711">
        <w:rPr>
          <w:rFonts w:ascii="Times New Roman" w:hAnsi="Times New Roman" w:cs="Times New Roman"/>
          <w:sz w:val="24"/>
          <w:szCs w:val="24"/>
        </w:rPr>
        <w:t>nemzetköziesítés</w:t>
      </w:r>
      <w:proofErr w:type="spellEnd"/>
      <w:r w:rsidRPr="00245711">
        <w:rPr>
          <w:rFonts w:ascii="Times New Roman" w:hAnsi="Times New Roman" w:cs="Times New Roman"/>
          <w:sz w:val="24"/>
          <w:szCs w:val="24"/>
        </w:rPr>
        <w:t xml:space="preserve"> az Egyetem fő célkitűzései közé tartozik. Évről évre örvendetesen nőtt, az idén viszont a járványügyi helyzet miatt kissé visszaesett az Óbudai Egyetem tanuló külföldi hallgatók száma.</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sz w:val="24"/>
          <w:szCs w:val="24"/>
        </w:rPr>
        <w:t xml:space="preserve">Az Egyetem Székelyudvarhelyen és Szabadkán folytat kihelyezett képzést. Külföldi hallgatókat fogad teljes idejű és részképzésre a Stipendium Hungaricum, az Erasmus+ mobilitási programok, a </w:t>
      </w:r>
      <w:proofErr w:type="spellStart"/>
      <w:r w:rsidRPr="00245711">
        <w:rPr>
          <w:rFonts w:ascii="Times New Roman" w:hAnsi="Times New Roman" w:cs="Times New Roman"/>
          <w:sz w:val="24"/>
          <w:szCs w:val="24"/>
        </w:rPr>
        <w:t>Makovecz</w:t>
      </w:r>
      <w:proofErr w:type="spellEnd"/>
      <w:r w:rsidRPr="00245711">
        <w:rPr>
          <w:rFonts w:ascii="Times New Roman" w:hAnsi="Times New Roman" w:cs="Times New Roman"/>
          <w:sz w:val="24"/>
          <w:szCs w:val="24"/>
        </w:rPr>
        <w:t xml:space="preserve"> program, a Diaszpóra és a Keresztény Fiatalok Ösztöndíjprogram keretében. Magyar hallgatók és oktatók részt vehetnek mobilitási programokban az Erasmus+, Campus </w:t>
      </w:r>
      <w:proofErr w:type="spellStart"/>
      <w:r w:rsidRPr="00245711">
        <w:rPr>
          <w:rFonts w:ascii="Times New Roman" w:hAnsi="Times New Roman" w:cs="Times New Roman"/>
          <w:sz w:val="24"/>
          <w:szCs w:val="24"/>
        </w:rPr>
        <w:t>Mundi</w:t>
      </w:r>
      <w:proofErr w:type="spellEnd"/>
      <w:r w:rsidRPr="00245711">
        <w:rPr>
          <w:rFonts w:ascii="Times New Roman" w:hAnsi="Times New Roman" w:cs="Times New Roman"/>
          <w:sz w:val="24"/>
          <w:szCs w:val="24"/>
        </w:rPr>
        <w:t xml:space="preserve"> és CEEPUS programok támogatásával. Örvendetesen nő a vendégoktatók száma is. </w:t>
      </w:r>
    </w:p>
    <w:p w:rsidR="00245711" w:rsidRPr="00245711" w:rsidRDefault="00245711" w:rsidP="00245711">
      <w:pPr>
        <w:jc w:val="both"/>
        <w:rPr>
          <w:rFonts w:ascii="Times New Roman" w:hAnsi="Times New Roman" w:cs="Times New Roman"/>
          <w:sz w:val="24"/>
          <w:szCs w:val="24"/>
        </w:rPr>
      </w:pPr>
      <w:r w:rsidRPr="00245711">
        <w:rPr>
          <w:rFonts w:ascii="Times New Roman" w:hAnsi="Times New Roman" w:cs="Times New Roman"/>
          <w:noProof/>
          <w:sz w:val="24"/>
          <w:szCs w:val="24"/>
          <w:lang w:eastAsia="hu-HU"/>
        </w:rPr>
        <w:lastRenderedPageBreak/>
        <w:drawing>
          <wp:inline distT="0" distB="0" distL="0" distR="0" wp14:anchorId="2A2CF63D" wp14:editId="19EF5C4D">
            <wp:extent cx="5760720" cy="2522855"/>
            <wp:effectExtent l="0" t="0" r="0" b="0"/>
            <wp:docPr id="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pic:cNvPicPr>
                      <a:picLocks noChangeAspect="1"/>
                    </pic:cNvPicPr>
                  </pic:nvPicPr>
                  <pic:blipFill rotWithShape="1">
                    <a:blip r:embed="rId12"/>
                    <a:srcRect l="3250" t="33219" r="44916" b="26422"/>
                    <a:stretch/>
                  </pic:blipFill>
                  <pic:spPr>
                    <a:xfrm>
                      <a:off x="0" y="0"/>
                      <a:ext cx="5760720" cy="2522855"/>
                    </a:xfrm>
                    <a:prstGeom prst="rect">
                      <a:avLst/>
                    </a:prstGeom>
                  </pic:spPr>
                </pic:pic>
              </a:graphicData>
            </a:graphic>
          </wp:inline>
        </w:drawing>
      </w:r>
    </w:p>
    <w:p w:rsidR="00245711" w:rsidRPr="00245711" w:rsidRDefault="00245711" w:rsidP="00245711">
      <w:pPr>
        <w:jc w:val="both"/>
        <w:rPr>
          <w:rFonts w:ascii="Times New Roman" w:hAnsi="Times New Roman" w:cs="Times New Roman"/>
          <w:color w:val="000000" w:themeColor="text1"/>
          <w:sz w:val="24"/>
          <w:szCs w:val="24"/>
        </w:rPr>
      </w:pPr>
      <w:r w:rsidRPr="00245711">
        <w:rPr>
          <w:rFonts w:ascii="Times New Roman" w:hAnsi="Times New Roman" w:cs="Times New Roman"/>
          <w:sz w:val="24"/>
          <w:szCs w:val="24"/>
        </w:rPr>
        <w:t xml:space="preserve">A Nemzeti Összetartozás Évében az Óbudai Egyetem a legjelentősebb öt határon túli régió magyar felsőoktatási intézményeivel kötött együttműködési megállapodást (Selye János Egyetem, II. Rákóczi Ferenc Kárpátaljai Magyar Főiskola, Sapientia Erdélyi Magyar Tudományegyetem, Partiumi Keresztény Egyetem, Szabadkai Műszaki Szakfőiskola), valamint kapcsolatot létesítettünk többek között a diaszpóra meghatározó magyar vagy magyar származású tudományos elitjével, magyarországi külképviseletekkel és számos határon túli vállalkozói szövetséggel. </w:t>
      </w:r>
      <w:r w:rsidRPr="00245711">
        <w:rPr>
          <w:rFonts w:ascii="Times New Roman" w:hAnsi="Times New Roman" w:cs="Times New Roman"/>
          <w:color w:val="000000" w:themeColor="text1"/>
          <w:sz w:val="24"/>
          <w:szCs w:val="24"/>
        </w:rPr>
        <w:t xml:space="preserve">Mindezen kapcsolatokkal és együttműködésekkel célunk, hogy az Óbudai Egyetem képzési és kutatási tevékenységei ne korlátozódjanak </w:t>
      </w:r>
      <w:r w:rsidRPr="00245711">
        <w:rPr>
          <w:rFonts w:ascii="Times New Roman" w:hAnsi="Times New Roman" w:cs="Times New Roman"/>
          <w:color w:val="000000" w:themeColor="text1"/>
          <w:sz w:val="24"/>
          <w:szCs w:val="24"/>
        </w:rPr>
        <w:lastRenderedPageBreak/>
        <w:t xml:space="preserve">Magyarország határai közé, hanem külhoni partnereinkkel való együttműködéseinkkel segítsük az </w:t>
      </w:r>
      <w:r w:rsidRPr="00245711">
        <w:rPr>
          <w:rFonts w:ascii="Times New Roman" w:hAnsi="Times New Roman" w:cs="Times New Roman"/>
          <w:bCs/>
          <w:color w:val="000000" w:themeColor="text1"/>
          <w:sz w:val="24"/>
          <w:szCs w:val="24"/>
        </w:rPr>
        <w:t>egységes Kárpát-medencei oktatási tér</w:t>
      </w:r>
      <w:r w:rsidRPr="00245711">
        <w:rPr>
          <w:rFonts w:ascii="Times New Roman" w:hAnsi="Times New Roman" w:cs="Times New Roman"/>
          <w:color w:val="000000" w:themeColor="text1"/>
          <w:sz w:val="24"/>
          <w:szCs w:val="24"/>
        </w:rPr>
        <w:t xml:space="preserve"> létrejöttét, melyet a 2015-ben létrejött K-MOOC erőteljesen elősegít.</w:t>
      </w:r>
    </w:p>
    <w:p w:rsidR="007D0666" w:rsidRDefault="007D0666">
      <w:pPr>
        <w:rPr>
          <w:rFonts w:ascii="Times New Roman" w:hAnsi="Times New Roman" w:cs="Times New Roman"/>
          <w:sz w:val="24"/>
          <w:szCs w:val="24"/>
        </w:rPr>
      </w:pPr>
      <w:r>
        <w:rPr>
          <w:rFonts w:ascii="Times New Roman" w:hAnsi="Times New Roman" w:cs="Times New Roman"/>
          <w:sz w:val="24"/>
          <w:szCs w:val="24"/>
        </w:rPr>
        <w:br w:type="page"/>
      </w:r>
    </w:p>
    <w:p w:rsidR="000F3365" w:rsidRPr="007D0666" w:rsidRDefault="0051743B" w:rsidP="007D0666">
      <w:pPr>
        <w:pStyle w:val="Cmsor1"/>
        <w:rPr>
          <w:rFonts w:ascii="Times New Roman" w:hAnsi="Times New Roman" w:cs="Times New Roman"/>
          <w:sz w:val="24"/>
          <w:szCs w:val="24"/>
        </w:rPr>
      </w:pPr>
      <w:r w:rsidRPr="007D0666">
        <w:rPr>
          <w:rFonts w:ascii="Times New Roman" w:hAnsi="Times New Roman" w:cs="Times New Roman"/>
          <w:sz w:val="24"/>
          <w:szCs w:val="24"/>
        </w:rPr>
        <w:lastRenderedPageBreak/>
        <w:t>Az Óbudai Egyetem 202</w:t>
      </w:r>
      <w:r w:rsidR="009C492C" w:rsidRPr="007D0666">
        <w:rPr>
          <w:rFonts w:ascii="Times New Roman" w:hAnsi="Times New Roman" w:cs="Times New Roman"/>
          <w:sz w:val="24"/>
          <w:szCs w:val="24"/>
        </w:rPr>
        <w:t>1</w:t>
      </w:r>
      <w:r w:rsidR="000F3365" w:rsidRPr="007D0666">
        <w:rPr>
          <w:rFonts w:ascii="Times New Roman" w:hAnsi="Times New Roman" w:cs="Times New Roman"/>
          <w:sz w:val="24"/>
          <w:szCs w:val="24"/>
        </w:rPr>
        <w:t>.</w:t>
      </w:r>
      <w:r w:rsidR="00E66F82" w:rsidRPr="007D0666">
        <w:rPr>
          <w:rFonts w:ascii="Times New Roman" w:hAnsi="Times New Roman" w:cs="Times New Roman"/>
          <w:sz w:val="24"/>
          <w:szCs w:val="24"/>
        </w:rPr>
        <w:t xml:space="preserve"> 01.01. – 2021.07.31</w:t>
      </w:r>
      <w:r w:rsidR="000F3365" w:rsidRPr="007D0666">
        <w:rPr>
          <w:rFonts w:ascii="Times New Roman" w:hAnsi="Times New Roman" w:cs="Times New Roman"/>
          <w:sz w:val="24"/>
          <w:szCs w:val="24"/>
        </w:rPr>
        <w:t xml:space="preserve"> </w:t>
      </w:r>
      <w:r w:rsidR="00E66F82" w:rsidRPr="007D0666">
        <w:rPr>
          <w:rFonts w:ascii="Times New Roman" w:hAnsi="Times New Roman" w:cs="Times New Roman"/>
          <w:sz w:val="24"/>
          <w:szCs w:val="24"/>
        </w:rPr>
        <w:t xml:space="preserve">időszakot érintő </w:t>
      </w:r>
      <w:r w:rsidR="000F3365" w:rsidRPr="007D0666">
        <w:rPr>
          <w:rFonts w:ascii="Times New Roman" w:hAnsi="Times New Roman" w:cs="Times New Roman"/>
          <w:sz w:val="24"/>
          <w:szCs w:val="24"/>
        </w:rPr>
        <w:t>gazdálkodásának rövid bemutatása</w:t>
      </w:r>
    </w:p>
    <w:p w:rsidR="000F3365" w:rsidRDefault="00F16B95" w:rsidP="000F33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00772114">
        <w:rPr>
          <w:rFonts w:ascii="Times New Roman" w:hAnsi="Times New Roman" w:cs="Times New Roman"/>
          <w:sz w:val="24"/>
          <w:szCs w:val="24"/>
        </w:rPr>
        <w:t>E</w:t>
      </w:r>
      <w:r>
        <w:rPr>
          <w:rFonts w:ascii="Times New Roman" w:hAnsi="Times New Roman" w:cs="Times New Roman"/>
          <w:sz w:val="24"/>
          <w:szCs w:val="24"/>
        </w:rPr>
        <w:t>gyetem 20</w:t>
      </w:r>
      <w:r w:rsidR="00C2090D">
        <w:rPr>
          <w:rFonts w:ascii="Times New Roman" w:hAnsi="Times New Roman" w:cs="Times New Roman"/>
          <w:sz w:val="24"/>
          <w:szCs w:val="24"/>
        </w:rPr>
        <w:t>2</w:t>
      </w:r>
      <w:r w:rsidR="00245711">
        <w:rPr>
          <w:rFonts w:ascii="Times New Roman" w:hAnsi="Times New Roman" w:cs="Times New Roman"/>
          <w:sz w:val="24"/>
          <w:szCs w:val="24"/>
        </w:rPr>
        <w:t>1</w:t>
      </w:r>
      <w:r>
        <w:rPr>
          <w:rFonts w:ascii="Times New Roman" w:hAnsi="Times New Roman" w:cs="Times New Roman"/>
          <w:sz w:val="24"/>
          <w:szCs w:val="24"/>
        </w:rPr>
        <w:t xml:space="preserve">. évi költségvetésében megállapított eredeti kiadási-bevételi előirányzata </w:t>
      </w:r>
      <w:r w:rsidR="00C2090D">
        <w:rPr>
          <w:rFonts w:ascii="Times New Roman" w:hAnsi="Times New Roman" w:cs="Times New Roman"/>
          <w:sz w:val="24"/>
          <w:szCs w:val="24"/>
        </w:rPr>
        <w:t>8</w:t>
      </w:r>
      <w:r w:rsidR="00245711">
        <w:rPr>
          <w:rFonts w:ascii="Times New Roman" w:hAnsi="Times New Roman" w:cs="Times New Roman"/>
          <w:sz w:val="24"/>
          <w:szCs w:val="24"/>
        </w:rPr>
        <w:t>.034.011</w:t>
      </w:r>
      <w:r>
        <w:rPr>
          <w:rFonts w:ascii="Times New Roman" w:hAnsi="Times New Roman" w:cs="Times New Roman"/>
          <w:sz w:val="24"/>
          <w:szCs w:val="24"/>
        </w:rPr>
        <w:t xml:space="preserve"> </w:t>
      </w:r>
      <w:proofErr w:type="spellStart"/>
      <w:r w:rsidR="00245711">
        <w:rPr>
          <w:rFonts w:ascii="Times New Roman" w:hAnsi="Times New Roman" w:cs="Times New Roman"/>
          <w:sz w:val="24"/>
          <w:szCs w:val="24"/>
        </w:rPr>
        <w:t>E</w:t>
      </w:r>
      <w:r w:rsidR="009C492C">
        <w:rPr>
          <w:rFonts w:ascii="Times New Roman" w:hAnsi="Times New Roman" w:cs="Times New Roman"/>
          <w:sz w:val="24"/>
          <w:szCs w:val="24"/>
        </w:rPr>
        <w:t>Ft</w:t>
      </w:r>
      <w:proofErr w:type="spellEnd"/>
      <w:r w:rsidR="009C492C">
        <w:rPr>
          <w:rFonts w:ascii="Times New Roman" w:hAnsi="Times New Roman" w:cs="Times New Roman"/>
          <w:sz w:val="24"/>
          <w:szCs w:val="24"/>
        </w:rPr>
        <w:t xml:space="preserve"> volt. A gazdasági év folyamán több növelő és csökkentő előirányzatot módosító tétel kapcsán a 2021.07.31-es modellváltás miatti záró előirányzatunk fő ös</w:t>
      </w:r>
      <w:r w:rsidR="00E66F82">
        <w:rPr>
          <w:rFonts w:ascii="Times New Roman" w:hAnsi="Times New Roman" w:cs="Times New Roman"/>
          <w:sz w:val="24"/>
          <w:szCs w:val="24"/>
        </w:rPr>
        <w:t xml:space="preserve">szege 11.889.953 </w:t>
      </w:r>
      <w:proofErr w:type="spellStart"/>
      <w:r w:rsidR="00E66F82">
        <w:rPr>
          <w:rFonts w:ascii="Times New Roman" w:hAnsi="Times New Roman" w:cs="Times New Roman"/>
          <w:sz w:val="24"/>
          <w:szCs w:val="24"/>
        </w:rPr>
        <w:t>EFT-ra</w:t>
      </w:r>
      <w:proofErr w:type="spellEnd"/>
      <w:r w:rsidR="00E66F82">
        <w:rPr>
          <w:rFonts w:ascii="Times New Roman" w:hAnsi="Times New Roman" w:cs="Times New Roman"/>
          <w:sz w:val="24"/>
          <w:szCs w:val="24"/>
        </w:rPr>
        <w:t xml:space="preserve"> módosult. (A részletes feladatszintű előirányzat módosítások és átcsoportosításokat a 2.sz. melléklet tartalmazza)</w:t>
      </w:r>
    </w:p>
    <w:p w:rsidR="00AF2B64" w:rsidRDefault="00AF2B64" w:rsidP="000F33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a tárgyalt időszakban összesen </w:t>
      </w:r>
      <w:r w:rsidR="00DE112F">
        <w:rPr>
          <w:rFonts w:ascii="Times New Roman" w:hAnsi="Times New Roman" w:cs="Times New Roman"/>
          <w:sz w:val="24"/>
          <w:szCs w:val="24"/>
        </w:rPr>
        <w:t>1</w:t>
      </w:r>
      <w:r w:rsidR="00E66F82">
        <w:rPr>
          <w:rFonts w:ascii="Times New Roman" w:hAnsi="Times New Roman" w:cs="Times New Roman"/>
          <w:sz w:val="24"/>
          <w:szCs w:val="24"/>
        </w:rPr>
        <w:t>0</w:t>
      </w:r>
      <w:r w:rsidR="00DE112F">
        <w:rPr>
          <w:rFonts w:ascii="Times New Roman" w:hAnsi="Times New Roman" w:cs="Times New Roman"/>
          <w:sz w:val="24"/>
          <w:szCs w:val="24"/>
        </w:rPr>
        <w:t>.</w:t>
      </w:r>
      <w:r w:rsidR="00E66F82">
        <w:rPr>
          <w:rFonts w:ascii="Times New Roman" w:hAnsi="Times New Roman" w:cs="Times New Roman"/>
          <w:sz w:val="24"/>
          <w:szCs w:val="24"/>
        </w:rPr>
        <w:t>645</w:t>
      </w:r>
      <w:r w:rsidR="00DE112F">
        <w:rPr>
          <w:rFonts w:ascii="Times New Roman" w:hAnsi="Times New Roman" w:cs="Times New Roman"/>
          <w:sz w:val="24"/>
          <w:szCs w:val="24"/>
        </w:rPr>
        <w:t>.</w:t>
      </w:r>
      <w:r w:rsidR="00E66F82">
        <w:rPr>
          <w:rFonts w:ascii="Times New Roman" w:hAnsi="Times New Roman" w:cs="Times New Roman"/>
          <w:sz w:val="24"/>
          <w:szCs w:val="24"/>
        </w:rPr>
        <w:t>672</w:t>
      </w:r>
      <w:r>
        <w:rPr>
          <w:rFonts w:ascii="Times New Roman" w:hAnsi="Times New Roman" w:cs="Times New Roman"/>
          <w:sz w:val="24"/>
          <w:szCs w:val="24"/>
        </w:rPr>
        <w:t xml:space="preserve"> </w:t>
      </w:r>
      <w:proofErr w:type="spellStart"/>
      <w:r w:rsidR="00E66F82">
        <w:rPr>
          <w:rFonts w:ascii="Times New Roman" w:hAnsi="Times New Roman" w:cs="Times New Roman"/>
          <w:sz w:val="24"/>
          <w:szCs w:val="24"/>
        </w:rPr>
        <w:t>E</w:t>
      </w:r>
      <w:r>
        <w:rPr>
          <w:rFonts w:ascii="Times New Roman" w:hAnsi="Times New Roman" w:cs="Times New Roman"/>
          <w:sz w:val="24"/>
          <w:szCs w:val="24"/>
        </w:rPr>
        <w:t>Ft</w:t>
      </w:r>
      <w:proofErr w:type="spellEnd"/>
      <w:r>
        <w:rPr>
          <w:rFonts w:ascii="Times New Roman" w:hAnsi="Times New Roman" w:cs="Times New Roman"/>
          <w:sz w:val="24"/>
          <w:szCs w:val="24"/>
        </w:rPr>
        <w:t xml:space="preserve"> kiadást teljesített, melynek szerkezetét az alábbi ábra mutatja be.</w:t>
      </w:r>
    </w:p>
    <w:p w:rsidR="00AF2B64" w:rsidRDefault="0048565C" w:rsidP="000F3365">
      <w:pPr>
        <w:spacing w:line="276" w:lineRule="auto"/>
        <w:jc w:val="both"/>
        <w:rPr>
          <w:rFonts w:ascii="Times New Roman" w:hAnsi="Times New Roman" w:cs="Times New Roman"/>
          <w:sz w:val="24"/>
          <w:szCs w:val="24"/>
        </w:rPr>
      </w:pPr>
      <w:r>
        <w:rPr>
          <w:noProof/>
          <w:lang w:eastAsia="hu-HU"/>
        </w:rPr>
        <w:lastRenderedPageBreak/>
        <w:drawing>
          <wp:inline distT="0" distB="0" distL="0" distR="0" wp14:anchorId="1D6395D9" wp14:editId="109CB24C">
            <wp:extent cx="5760720" cy="4027805"/>
            <wp:effectExtent l="0" t="0" r="11430" b="1079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565C" w:rsidRDefault="000A213E" w:rsidP="000F33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92219">
        <w:rPr>
          <w:rFonts w:ascii="Times New Roman" w:hAnsi="Times New Roman" w:cs="Times New Roman"/>
          <w:i/>
          <w:sz w:val="24"/>
          <w:szCs w:val="24"/>
        </w:rPr>
        <w:t>teljesítések kiadási szerkezete</w:t>
      </w:r>
      <w:r>
        <w:rPr>
          <w:rFonts w:ascii="Times New Roman" w:hAnsi="Times New Roman" w:cs="Times New Roman"/>
          <w:sz w:val="24"/>
          <w:szCs w:val="24"/>
        </w:rPr>
        <w:t xml:space="preserve"> </w:t>
      </w:r>
      <w:r w:rsidR="0048565C">
        <w:rPr>
          <w:rFonts w:ascii="Times New Roman" w:hAnsi="Times New Roman" w:cs="Times New Roman"/>
          <w:sz w:val="24"/>
          <w:szCs w:val="24"/>
        </w:rPr>
        <w:t xml:space="preserve">az előző évekhez képest </w:t>
      </w:r>
      <w:r w:rsidR="00151E26">
        <w:rPr>
          <w:rFonts w:ascii="Times New Roman" w:hAnsi="Times New Roman" w:cs="Times New Roman"/>
          <w:sz w:val="24"/>
          <w:szCs w:val="24"/>
        </w:rPr>
        <w:t>több</w:t>
      </w:r>
      <w:r w:rsidR="0048565C">
        <w:rPr>
          <w:rFonts w:ascii="Times New Roman" w:hAnsi="Times New Roman" w:cs="Times New Roman"/>
          <w:sz w:val="24"/>
          <w:szCs w:val="24"/>
        </w:rPr>
        <w:t xml:space="preserve"> eltérést mutat, melynek oka a</w:t>
      </w:r>
      <w:r w:rsidR="00151E26">
        <w:rPr>
          <w:rFonts w:ascii="Times New Roman" w:hAnsi="Times New Roman" w:cs="Times New Roman"/>
          <w:sz w:val="24"/>
          <w:szCs w:val="24"/>
        </w:rPr>
        <w:t xml:space="preserve"> 2021-es</w:t>
      </w:r>
      <w:r w:rsidR="0048565C">
        <w:rPr>
          <w:rFonts w:ascii="Times New Roman" w:hAnsi="Times New Roman" w:cs="Times New Roman"/>
          <w:sz w:val="24"/>
          <w:szCs w:val="24"/>
        </w:rPr>
        <w:t xml:space="preserve"> évben megvalósuló modellváltás</w:t>
      </w:r>
      <w:r w:rsidR="00151E26">
        <w:rPr>
          <w:rFonts w:ascii="Times New Roman" w:hAnsi="Times New Roman" w:cs="Times New Roman"/>
          <w:sz w:val="24"/>
          <w:szCs w:val="24"/>
        </w:rPr>
        <w:t xml:space="preserve"> és az arra való felkészülés</w:t>
      </w:r>
      <w:r w:rsidR="0048565C">
        <w:rPr>
          <w:rFonts w:ascii="Times New Roman" w:hAnsi="Times New Roman" w:cs="Times New Roman"/>
          <w:sz w:val="24"/>
          <w:szCs w:val="24"/>
        </w:rPr>
        <w:t xml:space="preserve">. A legnagyobb szeletet </w:t>
      </w:r>
      <w:r w:rsidR="00151E26">
        <w:rPr>
          <w:rFonts w:ascii="Times New Roman" w:hAnsi="Times New Roman" w:cs="Times New Roman"/>
          <w:sz w:val="24"/>
          <w:szCs w:val="24"/>
        </w:rPr>
        <w:t>továbbra</w:t>
      </w:r>
      <w:r w:rsidR="0048565C">
        <w:rPr>
          <w:rFonts w:ascii="Times New Roman" w:hAnsi="Times New Roman" w:cs="Times New Roman"/>
          <w:sz w:val="24"/>
          <w:szCs w:val="24"/>
        </w:rPr>
        <w:t xml:space="preserve"> is a személyi juttatások és a hozzá kapcsolódó járulékok teszik ki, melyek a teljes időszakra vetít</w:t>
      </w:r>
      <w:r w:rsidR="0065572D">
        <w:rPr>
          <w:rFonts w:ascii="Times New Roman" w:hAnsi="Times New Roman" w:cs="Times New Roman"/>
          <w:sz w:val="24"/>
          <w:szCs w:val="24"/>
        </w:rPr>
        <w:t xml:space="preserve">ett költségek 44 %-át teszik ki. </w:t>
      </w:r>
    </w:p>
    <w:p w:rsidR="00AF2B64" w:rsidRDefault="00DE112F" w:rsidP="000F3365">
      <w:pPr>
        <w:spacing w:line="276" w:lineRule="auto"/>
        <w:jc w:val="both"/>
        <w:rPr>
          <w:rFonts w:ascii="Times New Roman" w:hAnsi="Times New Roman" w:cs="Times New Roman"/>
          <w:sz w:val="24"/>
          <w:szCs w:val="24"/>
        </w:rPr>
      </w:pPr>
      <w:r>
        <w:rPr>
          <w:rFonts w:ascii="Times New Roman" w:hAnsi="Times New Roman" w:cs="Times New Roman"/>
          <w:sz w:val="24"/>
          <w:szCs w:val="24"/>
        </w:rPr>
        <w:t>202</w:t>
      </w:r>
      <w:r w:rsidR="0065572D">
        <w:rPr>
          <w:rFonts w:ascii="Times New Roman" w:hAnsi="Times New Roman" w:cs="Times New Roman"/>
          <w:sz w:val="24"/>
          <w:szCs w:val="24"/>
        </w:rPr>
        <w:t>1</w:t>
      </w:r>
      <w:r>
        <w:rPr>
          <w:rFonts w:ascii="Times New Roman" w:hAnsi="Times New Roman" w:cs="Times New Roman"/>
          <w:sz w:val="24"/>
          <w:szCs w:val="24"/>
        </w:rPr>
        <w:t xml:space="preserve">. évben </w:t>
      </w:r>
      <w:r w:rsidR="00943450">
        <w:rPr>
          <w:rFonts w:ascii="Times New Roman" w:hAnsi="Times New Roman" w:cs="Times New Roman"/>
          <w:sz w:val="24"/>
          <w:szCs w:val="24"/>
        </w:rPr>
        <w:t>kiemelkedően magas</w:t>
      </w:r>
      <w:r>
        <w:rPr>
          <w:rFonts w:ascii="Times New Roman" w:hAnsi="Times New Roman" w:cs="Times New Roman"/>
          <w:sz w:val="24"/>
          <w:szCs w:val="24"/>
        </w:rPr>
        <w:t xml:space="preserve"> részarányt képviselnek az </w:t>
      </w:r>
      <w:r w:rsidRPr="00092219">
        <w:rPr>
          <w:rFonts w:ascii="Times New Roman" w:hAnsi="Times New Roman" w:cs="Times New Roman"/>
          <w:i/>
          <w:sz w:val="24"/>
          <w:szCs w:val="24"/>
        </w:rPr>
        <w:t>egyéb működési célú kiadáso</w:t>
      </w:r>
      <w:r w:rsidR="0065572D" w:rsidRPr="00092219">
        <w:rPr>
          <w:rFonts w:ascii="Times New Roman" w:hAnsi="Times New Roman" w:cs="Times New Roman"/>
          <w:i/>
          <w:sz w:val="24"/>
          <w:szCs w:val="24"/>
        </w:rPr>
        <w:t>k</w:t>
      </w:r>
      <w:r w:rsidR="0065572D">
        <w:rPr>
          <w:rFonts w:ascii="Times New Roman" w:hAnsi="Times New Roman" w:cs="Times New Roman"/>
          <w:sz w:val="24"/>
          <w:szCs w:val="24"/>
        </w:rPr>
        <w:t>, amely nagymér</w:t>
      </w:r>
      <w:r w:rsidR="0065572D">
        <w:rPr>
          <w:rFonts w:ascii="Times New Roman" w:hAnsi="Times New Roman" w:cs="Times New Roman"/>
          <w:sz w:val="24"/>
          <w:szCs w:val="24"/>
        </w:rPr>
        <w:lastRenderedPageBreak/>
        <w:t xml:space="preserve">tékű részarány növekedésének oka a modellváltás miatti pénzeszközök átadása, mely a teljes kiadási főösszegünk 29%-át jelentette, </w:t>
      </w:r>
      <w:r w:rsidR="00151E26">
        <w:rPr>
          <w:rFonts w:ascii="Times New Roman" w:hAnsi="Times New Roman" w:cs="Times New Roman"/>
          <w:sz w:val="24"/>
          <w:szCs w:val="24"/>
        </w:rPr>
        <w:t>ami valami</w:t>
      </w:r>
      <w:r w:rsidR="0065572D">
        <w:rPr>
          <w:rFonts w:ascii="Times New Roman" w:hAnsi="Times New Roman" w:cs="Times New Roman"/>
          <w:sz w:val="24"/>
          <w:szCs w:val="24"/>
        </w:rPr>
        <w:t>vel több mint 3 milliárd forint.</w:t>
      </w:r>
    </w:p>
    <w:p w:rsidR="0065572D" w:rsidRDefault="0065572D" w:rsidP="000F33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092219">
        <w:rPr>
          <w:rFonts w:ascii="Times New Roman" w:hAnsi="Times New Roman" w:cs="Times New Roman"/>
          <w:i/>
          <w:sz w:val="24"/>
          <w:szCs w:val="24"/>
        </w:rPr>
        <w:t>általános működés</w:t>
      </w:r>
      <w:r>
        <w:rPr>
          <w:rFonts w:ascii="Times New Roman" w:hAnsi="Times New Roman" w:cs="Times New Roman"/>
          <w:sz w:val="24"/>
          <w:szCs w:val="24"/>
        </w:rPr>
        <w:t xml:space="preserve"> kapcsán felmerülő dologi (13%) és az ellátottak pénzbeli juttatások (10%), illetve a beruházás (3%) és felújítás (1%) kapcsán elmondható, hogy az időarányos teljesítések, az elmúlt évekhez hasonlóan, </w:t>
      </w:r>
      <w:r w:rsidR="00522715">
        <w:rPr>
          <w:rFonts w:ascii="Times New Roman" w:hAnsi="Times New Roman" w:cs="Times New Roman"/>
          <w:sz w:val="24"/>
          <w:szCs w:val="24"/>
        </w:rPr>
        <w:t xml:space="preserve">az elvárt szinten </w:t>
      </w:r>
      <w:r>
        <w:rPr>
          <w:rFonts w:ascii="Times New Roman" w:hAnsi="Times New Roman" w:cs="Times New Roman"/>
          <w:sz w:val="24"/>
          <w:szCs w:val="24"/>
        </w:rPr>
        <w:t>teljesültek</w:t>
      </w:r>
    </w:p>
    <w:p w:rsidR="008E48CC" w:rsidRDefault="00616E97"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20</w:t>
      </w:r>
      <w:r w:rsidR="0065572D">
        <w:rPr>
          <w:rFonts w:ascii="Times New Roman" w:hAnsi="Times New Roman" w:cs="Times New Roman"/>
          <w:sz w:val="24"/>
          <w:szCs w:val="24"/>
        </w:rPr>
        <w:t>2</w:t>
      </w:r>
      <w:r w:rsidR="00522715">
        <w:rPr>
          <w:rFonts w:ascii="Times New Roman" w:hAnsi="Times New Roman" w:cs="Times New Roman"/>
          <w:sz w:val="24"/>
          <w:szCs w:val="24"/>
        </w:rPr>
        <w:t>1</w:t>
      </w:r>
      <w:r w:rsidR="000A213E">
        <w:rPr>
          <w:rFonts w:ascii="Times New Roman" w:hAnsi="Times New Roman" w:cs="Times New Roman"/>
          <w:sz w:val="24"/>
          <w:szCs w:val="24"/>
        </w:rPr>
        <w:t>. költsé</w:t>
      </w:r>
      <w:r w:rsidR="003A4306">
        <w:rPr>
          <w:rFonts w:ascii="Times New Roman" w:hAnsi="Times New Roman" w:cs="Times New Roman"/>
          <w:sz w:val="24"/>
          <w:szCs w:val="24"/>
        </w:rPr>
        <w:t>gvetési év</w:t>
      </w:r>
      <w:r w:rsidR="00522715">
        <w:rPr>
          <w:rFonts w:ascii="Times New Roman" w:hAnsi="Times New Roman" w:cs="Times New Roman"/>
          <w:sz w:val="24"/>
          <w:szCs w:val="24"/>
        </w:rPr>
        <w:t xml:space="preserve"> teljesítésének adatai se az előirányzathoz, se az előző év adataihoz képest nem lehetséges az adatok torzítása nélkül </w:t>
      </w:r>
      <w:r w:rsidR="008E48CC">
        <w:rPr>
          <w:rFonts w:ascii="Times New Roman" w:hAnsi="Times New Roman" w:cs="Times New Roman"/>
          <w:sz w:val="24"/>
          <w:szCs w:val="24"/>
        </w:rPr>
        <w:t xml:space="preserve">összehasonlítani. A működési előirányzatok esetén a teljesítés mértéke megközelíti, illetve helyenként meg is haladja a 90%-os teljesítést, melynek oka, hogy a modellváltás miatt a „szabad” előirányzatokat át kellett csoportosítani az Egyetem pénzeszközeinek visszautalásának teljesíthetősége </w:t>
      </w:r>
      <w:r w:rsidR="008E48CC">
        <w:rPr>
          <w:rFonts w:ascii="Times New Roman" w:hAnsi="Times New Roman" w:cs="Times New Roman"/>
          <w:sz w:val="24"/>
          <w:szCs w:val="24"/>
        </w:rPr>
        <w:lastRenderedPageBreak/>
        <w:t>érdekében az „egyéb működés célú kiadások” előirányzatára.</w:t>
      </w:r>
    </w:p>
    <w:p w:rsidR="008579D2" w:rsidRDefault="008579D2" w:rsidP="007D0666">
      <w:pPr>
        <w:spacing w:after="0" w:line="276" w:lineRule="auto"/>
        <w:jc w:val="both"/>
        <w:rPr>
          <w:rFonts w:ascii="Times New Roman" w:hAnsi="Times New Roman" w:cs="Times New Roman"/>
          <w:sz w:val="24"/>
          <w:szCs w:val="24"/>
        </w:rPr>
      </w:pPr>
    </w:p>
    <w:p w:rsidR="000D0745" w:rsidRDefault="008E48CC"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92219">
        <w:rPr>
          <w:rFonts w:ascii="Times New Roman" w:hAnsi="Times New Roman" w:cs="Times New Roman"/>
          <w:i/>
          <w:sz w:val="24"/>
          <w:szCs w:val="24"/>
        </w:rPr>
        <w:t>személyi juttatások</w:t>
      </w:r>
      <w:r>
        <w:rPr>
          <w:rFonts w:ascii="Times New Roman" w:hAnsi="Times New Roman" w:cs="Times New Roman"/>
          <w:sz w:val="24"/>
          <w:szCs w:val="24"/>
        </w:rPr>
        <w:t xml:space="preserve"> kapcsán elmondható, az előző gazdasági év hasonló időtartamra vetített teljesüléséhez képest</w:t>
      </w:r>
      <w:r w:rsidR="000D0745">
        <w:rPr>
          <w:rFonts w:ascii="Times New Roman" w:hAnsi="Times New Roman" w:cs="Times New Roman"/>
          <w:sz w:val="24"/>
          <w:szCs w:val="24"/>
        </w:rPr>
        <w:t xml:space="preserve"> nagymértékben</w:t>
      </w:r>
      <w:r>
        <w:rPr>
          <w:rFonts w:ascii="Times New Roman" w:hAnsi="Times New Roman" w:cs="Times New Roman"/>
          <w:sz w:val="24"/>
          <w:szCs w:val="24"/>
        </w:rPr>
        <w:t xml:space="preserve"> növekedett a kifizetés mértéke, melynek elsődleges oka </w:t>
      </w:r>
      <w:r w:rsidR="00EF376A">
        <w:rPr>
          <w:rFonts w:ascii="Times New Roman" w:hAnsi="Times New Roman" w:cs="Times New Roman"/>
          <w:sz w:val="24"/>
          <w:szCs w:val="24"/>
        </w:rPr>
        <w:t>az előző évek fluktuációjának rendeződése és</w:t>
      </w:r>
      <w:r w:rsidR="000D0745">
        <w:rPr>
          <w:rFonts w:ascii="Times New Roman" w:hAnsi="Times New Roman" w:cs="Times New Roman"/>
          <w:sz w:val="24"/>
          <w:szCs w:val="24"/>
        </w:rPr>
        <w:t xml:space="preserve"> a</w:t>
      </w:r>
      <w:r w:rsidR="00EF376A">
        <w:rPr>
          <w:rFonts w:ascii="Times New Roman" w:hAnsi="Times New Roman" w:cs="Times New Roman"/>
          <w:sz w:val="24"/>
          <w:szCs w:val="24"/>
        </w:rPr>
        <w:t xml:space="preserve"> szervezeti átrendeződésekből fakadó létszámnövekedés (2020. évi munkajogi létszám 1033 fő – 2021 záró munkajogi létszám 1075 fő). A létszámnövekedés és átrendeződés leginkább az oktatói területet érintette, ahol így </w:t>
      </w:r>
      <w:proofErr w:type="spellStart"/>
      <w:r w:rsidR="00EF376A">
        <w:rPr>
          <w:rFonts w:ascii="Times New Roman" w:hAnsi="Times New Roman" w:cs="Times New Roman"/>
          <w:sz w:val="24"/>
          <w:szCs w:val="24"/>
        </w:rPr>
        <w:t>csökkenten</w:t>
      </w:r>
      <w:r w:rsidR="008579D2">
        <w:rPr>
          <w:rFonts w:ascii="Times New Roman" w:hAnsi="Times New Roman" w:cs="Times New Roman"/>
          <w:sz w:val="24"/>
          <w:szCs w:val="24"/>
        </w:rPr>
        <w:t>t</w:t>
      </w:r>
      <w:r w:rsidR="00EF376A">
        <w:rPr>
          <w:rFonts w:ascii="Times New Roman" w:hAnsi="Times New Roman" w:cs="Times New Roman"/>
          <w:sz w:val="24"/>
          <w:szCs w:val="24"/>
        </w:rPr>
        <w:t>a</w:t>
      </w:r>
      <w:proofErr w:type="spellEnd"/>
      <w:r w:rsidR="00EF376A">
        <w:rPr>
          <w:rFonts w:ascii="Times New Roman" w:hAnsi="Times New Roman" w:cs="Times New Roman"/>
          <w:sz w:val="24"/>
          <w:szCs w:val="24"/>
        </w:rPr>
        <w:t xml:space="preserve"> túlterheltség és javult az alapfeladat minőségi mutatója.</w:t>
      </w:r>
      <w:r w:rsidR="000D0745">
        <w:rPr>
          <w:rFonts w:ascii="Times New Roman" w:hAnsi="Times New Roman" w:cs="Times New Roman"/>
          <w:sz w:val="24"/>
          <w:szCs w:val="24"/>
        </w:rPr>
        <w:t xml:space="preserve"> A másodlagos ok, hogy a speciális törvényi rendelkezések miatt azon munkavállalók, akik nem vállalták a modellváltás miatti jogviszony változást, még a július hónapban rendezni kellett a kilépésből fakadó személyi kifizetéseket, </w:t>
      </w:r>
      <w:r w:rsidR="000D0745">
        <w:rPr>
          <w:rFonts w:ascii="Times New Roman" w:hAnsi="Times New Roman" w:cs="Times New Roman"/>
          <w:sz w:val="24"/>
          <w:szCs w:val="24"/>
        </w:rPr>
        <w:lastRenderedPageBreak/>
        <w:t xml:space="preserve">mely </w:t>
      </w:r>
      <w:r w:rsidR="008579D2">
        <w:rPr>
          <w:rFonts w:ascii="Times New Roman" w:hAnsi="Times New Roman" w:cs="Times New Roman"/>
          <w:sz w:val="24"/>
          <w:szCs w:val="24"/>
        </w:rPr>
        <w:t>a korábbi időszakra vetítve aránytalanul</w:t>
      </w:r>
      <w:r w:rsidR="000D0745">
        <w:rPr>
          <w:rFonts w:ascii="Times New Roman" w:hAnsi="Times New Roman" w:cs="Times New Roman"/>
          <w:sz w:val="24"/>
          <w:szCs w:val="24"/>
        </w:rPr>
        <w:t xml:space="preserve"> nagy</w:t>
      </w:r>
      <w:r w:rsidR="008579D2">
        <w:rPr>
          <w:rFonts w:ascii="Times New Roman" w:hAnsi="Times New Roman" w:cs="Times New Roman"/>
          <w:sz w:val="24"/>
          <w:szCs w:val="24"/>
        </w:rPr>
        <w:t>obb</w:t>
      </w:r>
      <w:r w:rsidR="000D0745">
        <w:rPr>
          <w:rFonts w:ascii="Times New Roman" w:hAnsi="Times New Roman" w:cs="Times New Roman"/>
          <w:sz w:val="24"/>
          <w:szCs w:val="24"/>
        </w:rPr>
        <w:t xml:space="preserve"> terhet rótt az egyetemre</w:t>
      </w:r>
      <w:r w:rsidR="00722AC6">
        <w:rPr>
          <w:rFonts w:ascii="Times New Roman" w:hAnsi="Times New Roman" w:cs="Times New Roman"/>
          <w:sz w:val="24"/>
          <w:szCs w:val="24"/>
        </w:rPr>
        <w:t>.</w:t>
      </w:r>
    </w:p>
    <w:p w:rsidR="000D0745" w:rsidRDefault="00CF4EA9"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92219">
        <w:rPr>
          <w:rFonts w:ascii="Times New Roman" w:hAnsi="Times New Roman" w:cs="Times New Roman"/>
          <w:i/>
          <w:sz w:val="24"/>
          <w:szCs w:val="24"/>
        </w:rPr>
        <w:t xml:space="preserve">dologi </w:t>
      </w:r>
      <w:r w:rsidR="00E2016F" w:rsidRPr="00092219">
        <w:rPr>
          <w:rFonts w:ascii="Times New Roman" w:hAnsi="Times New Roman" w:cs="Times New Roman"/>
          <w:i/>
          <w:sz w:val="24"/>
          <w:szCs w:val="24"/>
        </w:rPr>
        <w:t xml:space="preserve">kiadások </w:t>
      </w:r>
      <w:r w:rsidR="00F80C51" w:rsidRPr="00092219">
        <w:rPr>
          <w:rFonts w:ascii="Times New Roman" w:hAnsi="Times New Roman" w:cs="Times New Roman"/>
          <w:i/>
          <w:sz w:val="24"/>
          <w:szCs w:val="24"/>
        </w:rPr>
        <w:t>teljesülése</w:t>
      </w:r>
      <w:r w:rsidR="00F80C51">
        <w:rPr>
          <w:rFonts w:ascii="Times New Roman" w:hAnsi="Times New Roman" w:cs="Times New Roman"/>
          <w:sz w:val="24"/>
          <w:szCs w:val="24"/>
        </w:rPr>
        <w:t xml:space="preserve"> a </w:t>
      </w:r>
      <w:r w:rsidR="00E2016F">
        <w:rPr>
          <w:rFonts w:ascii="Times New Roman" w:hAnsi="Times New Roman" w:cs="Times New Roman"/>
          <w:sz w:val="24"/>
          <w:szCs w:val="24"/>
        </w:rPr>
        <w:t>tavalyi év</w:t>
      </w:r>
      <w:r w:rsidR="00F80C51">
        <w:rPr>
          <w:rFonts w:ascii="Times New Roman" w:hAnsi="Times New Roman" w:cs="Times New Roman"/>
          <w:sz w:val="24"/>
          <w:szCs w:val="24"/>
        </w:rPr>
        <w:t xml:space="preserve"> hasonló időszakához mérten, </w:t>
      </w:r>
      <w:r w:rsidR="000D0745">
        <w:rPr>
          <w:rFonts w:ascii="Times New Roman" w:hAnsi="Times New Roman" w:cs="Times New Roman"/>
          <w:sz w:val="24"/>
          <w:szCs w:val="24"/>
        </w:rPr>
        <w:t>hasonló intenzitást</w:t>
      </w:r>
      <w:r w:rsidR="00722AC6">
        <w:rPr>
          <w:rFonts w:ascii="Times New Roman" w:hAnsi="Times New Roman" w:cs="Times New Roman"/>
          <w:sz w:val="24"/>
          <w:szCs w:val="24"/>
        </w:rPr>
        <w:t xml:space="preserve"> mutat, hisz a 2020/2021-es tanév második féléve is a </w:t>
      </w:r>
      <w:proofErr w:type="spellStart"/>
      <w:r w:rsidR="00722AC6">
        <w:rPr>
          <w:rFonts w:ascii="Times New Roman" w:hAnsi="Times New Roman" w:cs="Times New Roman"/>
          <w:sz w:val="24"/>
          <w:szCs w:val="24"/>
        </w:rPr>
        <w:t>pandémiára</w:t>
      </w:r>
      <w:proofErr w:type="spellEnd"/>
      <w:r w:rsidR="00722AC6">
        <w:rPr>
          <w:rFonts w:ascii="Times New Roman" w:hAnsi="Times New Roman" w:cs="Times New Roman"/>
          <w:sz w:val="24"/>
          <w:szCs w:val="24"/>
        </w:rPr>
        <w:t xml:space="preserve"> való tekintettel leginkább online oktatásban valósult meg.</w:t>
      </w:r>
    </w:p>
    <w:p w:rsidR="00722AC6" w:rsidRDefault="00344AD7"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092219">
        <w:rPr>
          <w:rFonts w:ascii="Times New Roman" w:hAnsi="Times New Roman" w:cs="Times New Roman"/>
          <w:i/>
          <w:sz w:val="24"/>
          <w:szCs w:val="24"/>
        </w:rPr>
        <w:t>e</w:t>
      </w:r>
      <w:r w:rsidR="00722AC6" w:rsidRPr="00092219">
        <w:rPr>
          <w:rFonts w:ascii="Times New Roman" w:hAnsi="Times New Roman" w:cs="Times New Roman"/>
          <w:i/>
          <w:sz w:val="24"/>
          <w:szCs w:val="24"/>
        </w:rPr>
        <w:t>llátottak pénzügyi juttatásainak alakulását</w:t>
      </w:r>
      <w:r w:rsidR="00722AC6">
        <w:rPr>
          <w:rFonts w:ascii="Times New Roman" w:hAnsi="Times New Roman" w:cs="Times New Roman"/>
          <w:sz w:val="24"/>
          <w:szCs w:val="24"/>
        </w:rPr>
        <w:t xml:space="preserve"> tekintve ugyancsak elmondható, hogy az alapítványi fenntartás miatt, növekedett némileg az időarányos teljesítés. Előzetes eg</w:t>
      </w:r>
      <w:r w:rsidR="00820AEA">
        <w:rPr>
          <w:rFonts w:ascii="Times New Roman" w:hAnsi="Times New Roman" w:cs="Times New Roman"/>
          <w:sz w:val="24"/>
          <w:szCs w:val="24"/>
        </w:rPr>
        <w:t>yeztetés alapján az egyetem minden olyan ösztöndíjat kifizetett, mely a modellváltás átmeneti időszakába kellett volna teljesíteni, hogy az érintett hallgatókat még véletlenül se érje kár emiatt.</w:t>
      </w:r>
    </w:p>
    <w:p w:rsidR="002720CF" w:rsidRPr="000F3365" w:rsidRDefault="00CF4EA9"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092219">
        <w:rPr>
          <w:rFonts w:ascii="Times New Roman" w:hAnsi="Times New Roman" w:cs="Times New Roman"/>
          <w:i/>
          <w:sz w:val="24"/>
          <w:szCs w:val="24"/>
        </w:rPr>
        <w:t>egyéb működési célú kiadások</w:t>
      </w:r>
      <w:r w:rsidR="00820AEA">
        <w:rPr>
          <w:rFonts w:ascii="Times New Roman" w:hAnsi="Times New Roman" w:cs="Times New Roman"/>
          <w:sz w:val="24"/>
          <w:szCs w:val="24"/>
        </w:rPr>
        <w:t xml:space="preserve"> jelentős növekedése az előzetesen említett zárás kapcsán felmerülő pénzeszközök fenntartó részére való visszautalásának kezelése okozta</w:t>
      </w:r>
      <w:r w:rsidR="002720CF">
        <w:rPr>
          <w:rFonts w:ascii="Times New Roman" w:hAnsi="Times New Roman" w:cs="Times New Roman"/>
          <w:sz w:val="24"/>
          <w:szCs w:val="24"/>
        </w:rPr>
        <w:t>.</w:t>
      </w:r>
    </w:p>
    <w:p w:rsidR="003A4306" w:rsidRDefault="002F32B1" w:rsidP="007D06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Bevételi oldalon 202</w:t>
      </w:r>
      <w:r w:rsidR="00943450">
        <w:rPr>
          <w:rFonts w:ascii="Times New Roman" w:hAnsi="Times New Roman" w:cs="Times New Roman"/>
          <w:sz w:val="24"/>
          <w:szCs w:val="24"/>
        </w:rPr>
        <w:t>1</w:t>
      </w:r>
      <w:r>
        <w:rPr>
          <w:rFonts w:ascii="Times New Roman" w:hAnsi="Times New Roman" w:cs="Times New Roman"/>
          <w:sz w:val="24"/>
          <w:szCs w:val="24"/>
        </w:rPr>
        <w:t>-b</w:t>
      </w:r>
      <w:r w:rsidR="00943450">
        <w:rPr>
          <w:rFonts w:ascii="Times New Roman" w:hAnsi="Times New Roman" w:cs="Times New Roman"/>
          <w:sz w:val="24"/>
          <w:szCs w:val="24"/>
        </w:rPr>
        <w:t>e</w:t>
      </w:r>
      <w:r w:rsidR="003A4306">
        <w:rPr>
          <w:rFonts w:ascii="Times New Roman" w:hAnsi="Times New Roman" w:cs="Times New Roman"/>
          <w:sz w:val="24"/>
          <w:szCs w:val="24"/>
        </w:rPr>
        <w:t xml:space="preserve">n összességében </w:t>
      </w:r>
      <w:r>
        <w:rPr>
          <w:rFonts w:ascii="Times New Roman" w:hAnsi="Times New Roman" w:cs="Times New Roman"/>
          <w:sz w:val="24"/>
          <w:szCs w:val="24"/>
        </w:rPr>
        <w:t>1</w:t>
      </w:r>
      <w:r w:rsidR="00F30F51">
        <w:rPr>
          <w:rFonts w:ascii="Times New Roman" w:hAnsi="Times New Roman" w:cs="Times New Roman"/>
          <w:sz w:val="24"/>
          <w:szCs w:val="24"/>
        </w:rPr>
        <w:t>0</w:t>
      </w:r>
      <w:r>
        <w:rPr>
          <w:rFonts w:ascii="Times New Roman" w:hAnsi="Times New Roman" w:cs="Times New Roman"/>
          <w:sz w:val="24"/>
          <w:szCs w:val="24"/>
        </w:rPr>
        <w:t>.</w:t>
      </w:r>
      <w:r w:rsidR="00F30F51">
        <w:rPr>
          <w:rFonts w:ascii="Times New Roman" w:hAnsi="Times New Roman" w:cs="Times New Roman"/>
          <w:sz w:val="24"/>
          <w:szCs w:val="24"/>
        </w:rPr>
        <w:t>616</w:t>
      </w:r>
      <w:r>
        <w:rPr>
          <w:rFonts w:ascii="Times New Roman" w:hAnsi="Times New Roman" w:cs="Times New Roman"/>
          <w:sz w:val="24"/>
          <w:szCs w:val="24"/>
        </w:rPr>
        <w:t>.</w:t>
      </w:r>
      <w:r w:rsidR="00F30F51">
        <w:rPr>
          <w:rFonts w:ascii="Times New Roman" w:hAnsi="Times New Roman" w:cs="Times New Roman"/>
          <w:sz w:val="24"/>
          <w:szCs w:val="24"/>
        </w:rPr>
        <w:t>210</w:t>
      </w:r>
      <w:r w:rsidR="003A4306">
        <w:rPr>
          <w:rFonts w:ascii="Times New Roman" w:hAnsi="Times New Roman" w:cs="Times New Roman"/>
          <w:sz w:val="24"/>
          <w:szCs w:val="24"/>
        </w:rPr>
        <w:t xml:space="preserve"> </w:t>
      </w:r>
      <w:proofErr w:type="spellStart"/>
      <w:r w:rsidR="00A20764">
        <w:rPr>
          <w:rFonts w:ascii="Times New Roman" w:hAnsi="Times New Roman" w:cs="Times New Roman"/>
          <w:sz w:val="24"/>
          <w:szCs w:val="24"/>
        </w:rPr>
        <w:t>E</w:t>
      </w:r>
      <w:r w:rsidR="003A4306">
        <w:rPr>
          <w:rFonts w:ascii="Times New Roman" w:hAnsi="Times New Roman" w:cs="Times New Roman"/>
          <w:sz w:val="24"/>
          <w:szCs w:val="24"/>
        </w:rPr>
        <w:t>Ft</w:t>
      </w:r>
      <w:proofErr w:type="spellEnd"/>
      <w:r w:rsidR="003A4306">
        <w:rPr>
          <w:rFonts w:ascii="Times New Roman" w:hAnsi="Times New Roman" w:cs="Times New Roman"/>
          <w:sz w:val="24"/>
          <w:szCs w:val="24"/>
        </w:rPr>
        <w:t xml:space="preserve"> teljesült, melynek szerkezeti megoszlását az alábbi diagram szemlélteti:</w:t>
      </w:r>
    </w:p>
    <w:p w:rsidR="003A4306" w:rsidRDefault="00943450" w:rsidP="003A4306">
      <w:pPr>
        <w:spacing w:line="276" w:lineRule="auto"/>
        <w:jc w:val="both"/>
        <w:rPr>
          <w:rFonts w:ascii="Times New Roman" w:hAnsi="Times New Roman" w:cs="Times New Roman"/>
          <w:sz w:val="24"/>
          <w:szCs w:val="24"/>
        </w:rPr>
      </w:pPr>
      <w:r>
        <w:rPr>
          <w:noProof/>
          <w:lang w:eastAsia="hu-HU"/>
        </w:rPr>
        <w:drawing>
          <wp:inline distT="0" distB="0" distL="0" distR="0" wp14:anchorId="3F4AC792" wp14:editId="618BA372">
            <wp:extent cx="5726623" cy="3440624"/>
            <wp:effectExtent l="0" t="0" r="7620" b="762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4306" w:rsidRDefault="003A4306" w:rsidP="008C6430">
      <w:pPr>
        <w:jc w:val="both"/>
        <w:rPr>
          <w:rFonts w:ascii="Times New Roman" w:hAnsi="Times New Roman" w:cs="Times New Roman"/>
          <w:sz w:val="24"/>
          <w:szCs w:val="24"/>
        </w:rPr>
      </w:pPr>
      <w:r>
        <w:rPr>
          <w:rFonts w:ascii="Times New Roman" w:hAnsi="Times New Roman" w:cs="Times New Roman"/>
          <w:sz w:val="24"/>
          <w:szCs w:val="24"/>
        </w:rPr>
        <w:t xml:space="preserve">Az </w:t>
      </w:r>
      <w:r w:rsidR="00A20764">
        <w:rPr>
          <w:rFonts w:ascii="Times New Roman" w:hAnsi="Times New Roman" w:cs="Times New Roman"/>
          <w:sz w:val="24"/>
          <w:szCs w:val="24"/>
        </w:rPr>
        <w:t>E</w:t>
      </w:r>
      <w:r>
        <w:rPr>
          <w:rFonts w:ascii="Times New Roman" w:hAnsi="Times New Roman" w:cs="Times New Roman"/>
          <w:sz w:val="24"/>
          <w:szCs w:val="24"/>
        </w:rPr>
        <w:t>gyetem alaptevékenységéből adódóan,</w:t>
      </w:r>
      <w:r w:rsidR="002F32B1">
        <w:rPr>
          <w:rFonts w:ascii="Times New Roman" w:hAnsi="Times New Roman" w:cs="Times New Roman"/>
          <w:sz w:val="24"/>
          <w:szCs w:val="24"/>
        </w:rPr>
        <w:t xml:space="preserve"> illetve annak pénzügyi forrását tekintve</w:t>
      </w:r>
      <w:r>
        <w:rPr>
          <w:rFonts w:ascii="Times New Roman" w:hAnsi="Times New Roman" w:cs="Times New Roman"/>
          <w:sz w:val="24"/>
          <w:szCs w:val="24"/>
        </w:rPr>
        <w:t xml:space="preserve"> </w:t>
      </w:r>
      <w:r w:rsidR="002F32B1">
        <w:rPr>
          <w:rFonts w:ascii="Times New Roman" w:hAnsi="Times New Roman" w:cs="Times New Roman"/>
          <w:sz w:val="24"/>
          <w:szCs w:val="24"/>
        </w:rPr>
        <w:t xml:space="preserve">továbbra is a </w:t>
      </w:r>
      <w:r w:rsidR="004D6C36">
        <w:rPr>
          <w:rFonts w:ascii="Times New Roman" w:hAnsi="Times New Roman" w:cs="Times New Roman"/>
          <w:sz w:val="24"/>
          <w:szCs w:val="24"/>
        </w:rPr>
        <w:t>leghangsúlyosabb</w:t>
      </w:r>
      <w:r>
        <w:rPr>
          <w:rFonts w:ascii="Times New Roman" w:hAnsi="Times New Roman" w:cs="Times New Roman"/>
          <w:sz w:val="24"/>
          <w:szCs w:val="24"/>
        </w:rPr>
        <w:t xml:space="preserve"> az </w:t>
      </w:r>
      <w:r w:rsidRPr="00092219">
        <w:rPr>
          <w:rFonts w:ascii="Times New Roman" w:hAnsi="Times New Roman" w:cs="Times New Roman"/>
          <w:i/>
          <w:sz w:val="24"/>
          <w:szCs w:val="24"/>
        </w:rPr>
        <w:t>állami finanszírozás</w:t>
      </w:r>
      <w:r w:rsidR="002F32B1">
        <w:rPr>
          <w:rFonts w:ascii="Times New Roman" w:hAnsi="Times New Roman" w:cs="Times New Roman"/>
          <w:sz w:val="24"/>
          <w:szCs w:val="24"/>
        </w:rPr>
        <w:t xml:space="preserve"> (49%)</w:t>
      </w:r>
      <w:r>
        <w:rPr>
          <w:rFonts w:ascii="Times New Roman" w:hAnsi="Times New Roman" w:cs="Times New Roman"/>
          <w:sz w:val="24"/>
          <w:szCs w:val="24"/>
        </w:rPr>
        <w:t xml:space="preserve">, melyet </w:t>
      </w:r>
      <w:r w:rsidR="00F30F51">
        <w:rPr>
          <w:rFonts w:ascii="Times New Roman" w:hAnsi="Times New Roman" w:cs="Times New Roman"/>
          <w:sz w:val="24"/>
          <w:szCs w:val="24"/>
        </w:rPr>
        <w:t>36</w:t>
      </w:r>
      <w:r w:rsidR="002F32B1">
        <w:rPr>
          <w:rFonts w:ascii="Times New Roman" w:hAnsi="Times New Roman" w:cs="Times New Roman"/>
          <w:sz w:val="24"/>
          <w:szCs w:val="24"/>
        </w:rPr>
        <w:t xml:space="preserve">%-os részaránnyal </w:t>
      </w:r>
      <w:r>
        <w:rPr>
          <w:rFonts w:ascii="Times New Roman" w:hAnsi="Times New Roman" w:cs="Times New Roman"/>
          <w:sz w:val="24"/>
          <w:szCs w:val="24"/>
        </w:rPr>
        <w:t xml:space="preserve">pénzforgalom nélküli bevételként az </w:t>
      </w:r>
      <w:r w:rsidRPr="00092219">
        <w:rPr>
          <w:rFonts w:ascii="Times New Roman" w:hAnsi="Times New Roman" w:cs="Times New Roman"/>
          <w:i/>
          <w:sz w:val="24"/>
          <w:szCs w:val="24"/>
        </w:rPr>
        <w:t>előző év(</w:t>
      </w:r>
      <w:proofErr w:type="spellStart"/>
      <w:r w:rsidRPr="00092219">
        <w:rPr>
          <w:rFonts w:ascii="Times New Roman" w:hAnsi="Times New Roman" w:cs="Times New Roman"/>
          <w:i/>
          <w:sz w:val="24"/>
          <w:szCs w:val="24"/>
        </w:rPr>
        <w:t>ek</w:t>
      </w:r>
      <w:proofErr w:type="spellEnd"/>
      <w:r w:rsidRPr="00092219">
        <w:rPr>
          <w:rFonts w:ascii="Times New Roman" w:hAnsi="Times New Roman" w:cs="Times New Roman"/>
          <w:i/>
          <w:sz w:val="24"/>
          <w:szCs w:val="24"/>
        </w:rPr>
        <w:t>) költségvetési maradványa</w:t>
      </w:r>
      <w:r>
        <w:rPr>
          <w:rFonts w:ascii="Times New Roman" w:hAnsi="Times New Roman" w:cs="Times New Roman"/>
          <w:sz w:val="24"/>
          <w:szCs w:val="24"/>
        </w:rPr>
        <w:t xml:space="preserve"> követ. Ennek indoka, hogy az </w:t>
      </w:r>
      <w:r w:rsidR="00A20764">
        <w:rPr>
          <w:rFonts w:ascii="Times New Roman" w:hAnsi="Times New Roman" w:cs="Times New Roman"/>
          <w:sz w:val="24"/>
          <w:szCs w:val="24"/>
        </w:rPr>
        <w:t>E</w:t>
      </w:r>
      <w:r>
        <w:rPr>
          <w:rFonts w:ascii="Times New Roman" w:hAnsi="Times New Roman" w:cs="Times New Roman"/>
          <w:sz w:val="24"/>
          <w:szCs w:val="24"/>
        </w:rPr>
        <w:t>gyetem jelentős európai uniós és hazai pályázatokat nyert a megelőző években, mely</w:t>
      </w:r>
      <w:r w:rsidR="00A20764">
        <w:rPr>
          <w:rFonts w:ascii="Times New Roman" w:hAnsi="Times New Roman" w:cs="Times New Roman"/>
          <w:sz w:val="24"/>
          <w:szCs w:val="24"/>
        </w:rPr>
        <w:t>ek</w:t>
      </w:r>
      <w:r>
        <w:rPr>
          <w:rFonts w:ascii="Times New Roman" w:hAnsi="Times New Roman" w:cs="Times New Roman"/>
          <w:sz w:val="24"/>
          <w:szCs w:val="24"/>
        </w:rPr>
        <w:t>nek megvalósítása</w:t>
      </w:r>
      <w:r w:rsidR="002F32B1">
        <w:rPr>
          <w:rFonts w:ascii="Times New Roman" w:hAnsi="Times New Roman" w:cs="Times New Roman"/>
          <w:sz w:val="24"/>
          <w:szCs w:val="24"/>
        </w:rPr>
        <w:t xml:space="preserve"> 202</w:t>
      </w:r>
      <w:r w:rsidR="00F30F51">
        <w:rPr>
          <w:rFonts w:ascii="Times New Roman" w:hAnsi="Times New Roman" w:cs="Times New Roman"/>
          <w:sz w:val="24"/>
          <w:szCs w:val="24"/>
        </w:rPr>
        <w:t>1</w:t>
      </w:r>
      <w:r w:rsidR="002F32B1">
        <w:rPr>
          <w:rFonts w:ascii="Times New Roman" w:hAnsi="Times New Roman" w:cs="Times New Roman"/>
          <w:sz w:val="24"/>
          <w:szCs w:val="24"/>
        </w:rPr>
        <w:t>. évben folytatódott</w:t>
      </w:r>
      <w:r>
        <w:rPr>
          <w:rFonts w:ascii="Times New Roman" w:hAnsi="Times New Roman" w:cs="Times New Roman"/>
          <w:sz w:val="24"/>
          <w:szCs w:val="24"/>
        </w:rPr>
        <w:t xml:space="preserve">, így </w:t>
      </w:r>
      <w:r w:rsidR="002F32B1">
        <w:rPr>
          <w:rFonts w:ascii="Times New Roman" w:hAnsi="Times New Roman" w:cs="Times New Roman"/>
          <w:sz w:val="24"/>
          <w:szCs w:val="24"/>
        </w:rPr>
        <w:t>meghatározó</w:t>
      </w:r>
      <w:r w:rsidR="00A20764">
        <w:rPr>
          <w:rFonts w:ascii="Times New Roman" w:hAnsi="Times New Roman" w:cs="Times New Roman"/>
          <w:sz w:val="24"/>
          <w:szCs w:val="24"/>
        </w:rPr>
        <w:t>ak</w:t>
      </w:r>
      <w:r>
        <w:rPr>
          <w:rFonts w:ascii="Times New Roman" w:hAnsi="Times New Roman" w:cs="Times New Roman"/>
          <w:sz w:val="24"/>
          <w:szCs w:val="24"/>
        </w:rPr>
        <w:t xml:space="preserve"> a </w:t>
      </w:r>
      <w:r>
        <w:rPr>
          <w:rFonts w:ascii="Times New Roman" w:hAnsi="Times New Roman" w:cs="Times New Roman"/>
          <w:sz w:val="24"/>
          <w:szCs w:val="24"/>
        </w:rPr>
        <w:lastRenderedPageBreak/>
        <w:t xml:space="preserve">maradványon belül </w:t>
      </w:r>
      <w:r w:rsidR="00B15222">
        <w:rPr>
          <w:rFonts w:ascii="Times New Roman" w:hAnsi="Times New Roman" w:cs="Times New Roman"/>
          <w:sz w:val="24"/>
          <w:szCs w:val="24"/>
        </w:rPr>
        <w:t>az ezekkel a programokkal összefüggő tétel</w:t>
      </w:r>
      <w:r w:rsidR="00A20764">
        <w:rPr>
          <w:rFonts w:ascii="Times New Roman" w:hAnsi="Times New Roman" w:cs="Times New Roman"/>
          <w:sz w:val="24"/>
          <w:szCs w:val="24"/>
        </w:rPr>
        <w:t>ek</w:t>
      </w:r>
      <w:r w:rsidR="00846036">
        <w:rPr>
          <w:rFonts w:ascii="Times New Roman" w:hAnsi="Times New Roman" w:cs="Times New Roman"/>
          <w:sz w:val="24"/>
          <w:szCs w:val="24"/>
        </w:rPr>
        <w:t xml:space="preserve"> </w:t>
      </w:r>
      <w:r w:rsidR="00B15222">
        <w:rPr>
          <w:rFonts w:ascii="Times New Roman" w:hAnsi="Times New Roman" w:cs="Times New Roman"/>
          <w:sz w:val="24"/>
          <w:szCs w:val="24"/>
        </w:rPr>
        <w:t>összeg</w:t>
      </w:r>
      <w:r w:rsidR="00A20764">
        <w:rPr>
          <w:rFonts w:ascii="Times New Roman" w:hAnsi="Times New Roman" w:cs="Times New Roman"/>
          <w:sz w:val="24"/>
          <w:szCs w:val="24"/>
        </w:rPr>
        <w:t>ei</w:t>
      </w:r>
      <w:r w:rsidR="00B15222">
        <w:rPr>
          <w:rFonts w:ascii="Times New Roman" w:hAnsi="Times New Roman" w:cs="Times New Roman"/>
          <w:sz w:val="24"/>
          <w:szCs w:val="24"/>
        </w:rPr>
        <w:t xml:space="preserve">. </w:t>
      </w:r>
    </w:p>
    <w:p w:rsidR="00B3284D" w:rsidRDefault="008C6430" w:rsidP="00962821">
      <w:pPr>
        <w:rPr>
          <w:rFonts w:ascii="Times New Roman" w:hAnsi="Times New Roman" w:cs="Times New Roman"/>
          <w:sz w:val="24"/>
          <w:szCs w:val="24"/>
        </w:rPr>
      </w:pPr>
      <w:r>
        <w:rPr>
          <w:rFonts w:ascii="Times New Roman" w:hAnsi="Times New Roman" w:cs="Times New Roman"/>
          <w:sz w:val="24"/>
          <w:szCs w:val="24"/>
        </w:rPr>
        <w:t xml:space="preserve">A </w:t>
      </w:r>
      <w:r w:rsidR="00F30F51">
        <w:rPr>
          <w:rFonts w:ascii="Times New Roman" w:hAnsi="Times New Roman" w:cs="Times New Roman"/>
          <w:sz w:val="24"/>
          <w:szCs w:val="24"/>
        </w:rPr>
        <w:t xml:space="preserve">bevételek esetében is, ahogy a kiadások esetében is, az előző időszakhoz való viszonyítás nem </w:t>
      </w:r>
      <w:r w:rsidR="008579D2">
        <w:rPr>
          <w:rFonts w:ascii="Times New Roman" w:hAnsi="Times New Roman" w:cs="Times New Roman"/>
          <w:sz w:val="24"/>
          <w:szCs w:val="24"/>
        </w:rPr>
        <w:t>ad pontos képet</w:t>
      </w:r>
      <w:r w:rsidR="00F30F51">
        <w:rPr>
          <w:rFonts w:ascii="Times New Roman" w:hAnsi="Times New Roman" w:cs="Times New Roman"/>
          <w:sz w:val="24"/>
          <w:szCs w:val="24"/>
        </w:rPr>
        <w:t>, az év közbeni megszűnésből fakadón, úgy hogy azok összemérhetőek legyenek.</w:t>
      </w:r>
    </w:p>
    <w:p w:rsidR="00B3284D" w:rsidRDefault="00C409A4" w:rsidP="008C6430">
      <w:pPr>
        <w:jc w:val="both"/>
        <w:rPr>
          <w:rFonts w:ascii="Times New Roman" w:hAnsi="Times New Roman" w:cs="Times New Roman"/>
          <w:sz w:val="24"/>
          <w:szCs w:val="24"/>
        </w:rPr>
      </w:pPr>
      <w:r>
        <w:rPr>
          <w:rFonts w:ascii="Times New Roman" w:hAnsi="Times New Roman" w:cs="Times New Roman"/>
          <w:sz w:val="24"/>
          <w:szCs w:val="24"/>
        </w:rPr>
        <w:t>Az Óbudai Egyetem sikeresen elnyert több közvetlen az Európai Unió által finanszírozott több éves pályázatot, melynek bevétel teljesülése a fentebb látható diagramba nem láthatóak, a hatályos gazdasági szabályzatok miatt. Ezen pályázati források teljesülését, csak a kiadások m</w:t>
      </w:r>
      <w:r w:rsidR="009D23BF">
        <w:rPr>
          <w:rFonts w:ascii="Times New Roman" w:hAnsi="Times New Roman" w:cs="Times New Roman"/>
          <w:sz w:val="24"/>
          <w:szCs w:val="24"/>
        </w:rPr>
        <w:t>értékéig jeleníthetjük meg, ebből fakadóan jelentősen kevesebb pályázati forrás teljesülés látszik a 2021-es jelen időszakában, az előző időszakokhoz képest.</w:t>
      </w:r>
    </w:p>
    <w:p w:rsidR="009D23BF" w:rsidRDefault="009D23BF" w:rsidP="008C6430">
      <w:pPr>
        <w:jc w:val="both"/>
        <w:rPr>
          <w:rFonts w:ascii="Times New Roman" w:hAnsi="Times New Roman" w:cs="Times New Roman"/>
          <w:sz w:val="24"/>
          <w:szCs w:val="24"/>
        </w:rPr>
      </w:pPr>
      <w:r>
        <w:rPr>
          <w:rFonts w:ascii="Times New Roman" w:hAnsi="Times New Roman" w:cs="Times New Roman"/>
          <w:sz w:val="24"/>
          <w:szCs w:val="24"/>
        </w:rPr>
        <w:t xml:space="preserve">A 2018 – 2019-es időszakban elnyert nagy összegű EFOP, GINOP, VKE pályázatok esetében, ahogy az előzőekben is említetve lett, az előre leutalt támogatási összegek az idei költségvetési évben mint „előző évi </w:t>
      </w:r>
      <w:r>
        <w:rPr>
          <w:rFonts w:ascii="Times New Roman" w:hAnsi="Times New Roman" w:cs="Times New Roman"/>
          <w:sz w:val="24"/>
          <w:szCs w:val="24"/>
        </w:rPr>
        <w:lastRenderedPageBreak/>
        <w:t>költségvetési maradványának igénybevétele”</w:t>
      </w:r>
      <w:proofErr w:type="spellStart"/>
      <w:r>
        <w:rPr>
          <w:rFonts w:ascii="Times New Roman" w:hAnsi="Times New Roman" w:cs="Times New Roman"/>
          <w:sz w:val="24"/>
          <w:szCs w:val="24"/>
        </w:rPr>
        <w:t>-ként</w:t>
      </w:r>
      <w:proofErr w:type="spellEnd"/>
      <w:r>
        <w:rPr>
          <w:rFonts w:ascii="Times New Roman" w:hAnsi="Times New Roman" w:cs="Times New Roman"/>
          <w:sz w:val="24"/>
          <w:szCs w:val="24"/>
        </w:rPr>
        <w:t xml:space="preserve"> mutatkozik.</w:t>
      </w:r>
    </w:p>
    <w:p w:rsidR="009D23BF" w:rsidRDefault="009D23BF" w:rsidP="008C6430">
      <w:pPr>
        <w:jc w:val="both"/>
        <w:rPr>
          <w:rFonts w:ascii="Times New Roman" w:hAnsi="Times New Roman" w:cs="Times New Roman"/>
          <w:sz w:val="24"/>
          <w:szCs w:val="24"/>
        </w:rPr>
      </w:pPr>
      <w:r>
        <w:rPr>
          <w:rFonts w:ascii="Times New Roman" w:hAnsi="Times New Roman" w:cs="Times New Roman"/>
          <w:sz w:val="24"/>
          <w:szCs w:val="24"/>
        </w:rPr>
        <w:t>A fenntartó által leutalt támogatás alakulását, nagyban befolyásolta a</w:t>
      </w:r>
      <w:r w:rsidR="008579D2">
        <w:rPr>
          <w:rFonts w:ascii="Times New Roman" w:hAnsi="Times New Roman" w:cs="Times New Roman"/>
          <w:sz w:val="24"/>
          <w:szCs w:val="24"/>
        </w:rPr>
        <w:t xml:space="preserve"> küszöbön álló</w:t>
      </w:r>
      <w:r>
        <w:rPr>
          <w:rFonts w:ascii="Times New Roman" w:hAnsi="Times New Roman" w:cs="Times New Roman"/>
          <w:sz w:val="24"/>
          <w:szCs w:val="24"/>
        </w:rPr>
        <w:t xml:space="preserve"> modellváltás és az </w:t>
      </w:r>
      <w:r w:rsidR="008579D2">
        <w:rPr>
          <w:rFonts w:ascii="Times New Roman" w:hAnsi="Times New Roman" w:cs="Times New Roman"/>
          <w:sz w:val="24"/>
          <w:szCs w:val="24"/>
        </w:rPr>
        <w:t xml:space="preserve">ebből </w:t>
      </w:r>
      <w:r>
        <w:rPr>
          <w:rFonts w:ascii="Times New Roman" w:hAnsi="Times New Roman" w:cs="Times New Roman"/>
          <w:sz w:val="24"/>
          <w:szCs w:val="24"/>
        </w:rPr>
        <w:t>követ</w:t>
      </w:r>
      <w:r w:rsidR="008579D2">
        <w:rPr>
          <w:rFonts w:ascii="Times New Roman" w:hAnsi="Times New Roman" w:cs="Times New Roman"/>
          <w:sz w:val="24"/>
          <w:szCs w:val="24"/>
        </w:rPr>
        <w:t>kez</w:t>
      </w:r>
      <w:r>
        <w:rPr>
          <w:rFonts w:ascii="Times New Roman" w:hAnsi="Times New Roman" w:cs="Times New Roman"/>
          <w:sz w:val="24"/>
          <w:szCs w:val="24"/>
        </w:rPr>
        <w:t xml:space="preserve">ő </w:t>
      </w:r>
      <w:proofErr w:type="spellStart"/>
      <w:r>
        <w:rPr>
          <w:rFonts w:ascii="Times New Roman" w:hAnsi="Times New Roman" w:cs="Times New Roman"/>
          <w:sz w:val="24"/>
          <w:szCs w:val="24"/>
        </w:rPr>
        <w:t>intermedzo</w:t>
      </w:r>
      <w:proofErr w:type="spellEnd"/>
      <w:r>
        <w:rPr>
          <w:rFonts w:ascii="Times New Roman" w:hAnsi="Times New Roman" w:cs="Times New Roman"/>
          <w:sz w:val="24"/>
          <w:szCs w:val="24"/>
        </w:rPr>
        <w:t xml:space="preserve"> időszak. Az eredeti előirányzathoz képest az időarányos teljesítés</w:t>
      </w:r>
      <w:r w:rsidR="003E369C">
        <w:rPr>
          <w:rFonts w:ascii="Times New Roman" w:hAnsi="Times New Roman" w:cs="Times New Roman"/>
          <w:sz w:val="24"/>
          <w:szCs w:val="24"/>
        </w:rPr>
        <w:t xml:space="preserve"> magasabb volument mutat, melynek oka, a </w:t>
      </w:r>
      <w:r w:rsidR="003E369C" w:rsidRPr="00092219">
        <w:rPr>
          <w:rFonts w:ascii="Times New Roman" w:hAnsi="Times New Roman" w:cs="Times New Roman"/>
          <w:i/>
          <w:sz w:val="24"/>
          <w:szCs w:val="24"/>
        </w:rPr>
        <w:t>fenntartó váltás miatt lekért támogatási előleg</w:t>
      </w:r>
      <w:r w:rsidR="003E369C">
        <w:rPr>
          <w:rFonts w:ascii="Times New Roman" w:hAnsi="Times New Roman" w:cs="Times New Roman"/>
          <w:sz w:val="24"/>
          <w:szCs w:val="24"/>
        </w:rPr>
        <w:t>, ezzel biztosítva az egyetem likviditását, az átmeneti időszak vonatkozásában.</w:t>
      </w:r>
    </w:p>
    <w:p w:rsidR="00CF3BC5" w:rsidRDefault="008A7273" w:rsidP="008C6430">
      <w:pPr>
        <w:jc w:val="both"/>
        <w:rPr>
          <w:rFonts w:ascii="Times New Roman" w:hAnsi="Times New Roman" w:cs="Times New Roman"/>
          <w:sz w:val="24"/>
          <w:szCs w:val="24"/>
        </w:rPr>
      </w:pPr>
      <w:r>
        <w:rPr>
          <w:rFonts w:ascii="Times New Roman" w:hAnsi="Times New Roman" w:cs="Times New Roman"/>
          <w:sz w:val="24"/>
          <w:szCs w:val="24"/>
        </w:rPr>
        <w:t>Az intézmény</w:t>
      </w:r>
      <w:r w:rsidR="00A20764">
        <w:rPr>
          <w:rFonts w:ascii="Times New Roman" w:hAnsi="Times New Roman" w:cs="Times New Roman"/>
          <w:sz w:val="24"/>
          <w:szCs w:val="24"/>
        </w:rPr>
        <w:t>i</w:t>
      </w:r>
      <w:r>
        <w:rPr>
          <w:rFonts w:ascii="Times New Roman" w:hAnsi="Times New Roman" w:cs="Times New Roman"/>
          <w:sz w:val="24"/>
          <w:szCs w:val="24"/>
        </w:rPr>
        <w:t xml:space="preserve"> vagyon helyzetét, annak változásait a számviteli mérleg szemlélteti.</w:t>
      </w:r>
    </w:p>
    <w:tbl>
      <w:tblPr>
        <w:tblW w:w="8931" w:type="dxa"/>
        <w:tblCellMar>
          <w:left w:w="70" w:type="dxa"/>
          <w:right w:w="70" w:type="dxa"/>
        </w:tblCellMar>
        <w:tblLook w:val="04A0" w:firstRow="1" w:lastRow="0" w:firstColumn="1" w:lastColumn="0" w:noHBand="0" w:noVBand="1"/>
      </w:tblPr>
      <w:tblGrid>
        <w:gridCol w:w="4111"/>
        <w:gridCol w:w="1985"/>
        <w:gridCol w:w="1559"/>
        <w:gridCol w:w="1276"/>
      </w:tblGrid>
      <w:tr w:rsidR="001C4DC5" w:rsidRPr="001C4DC5" w:rsidTr="002B2DF2">
        <w:trPr>
          <w:trHeight w:val="315"/>
        </w:trPr>
        <w:tc>
          <w:tcPr>
            <w:tcW w:w="8931" w:type="dxa"/>
            <w:gridSpan w:val="4"/>
            <w:tcBorders>
              <w:top w:val="nil"/>
              <w:left w:val="nil"/>
              <w:bottom w:val="single" w:sz="8" w:space="0" w:color="auto"/>
              <w:right w:val="nil"/>
            </w:tcBorders>
            <w:shd w:val="clear" w:color="auto" w:fill="auto"/>
            <w:noWrap/>
            <w:vAlign w:val="center"/>
            <w:hideMark/>
          </w:tcPr>
          <w:p w:rsidR="001C4DC5" w:rsidRPr="001C4DC5" w:rsidRDefault="001C4DC5" w:rsidP="001C4DC5">
            <w:pPr>
              <w:spacing w:after="0" w:line="240" w:lineRule="auto"/>
              <w:jc w:val="center"/>
              <w:rPr>
                <w:rFonts w:ascii="Calibri" w:eastAsia="Times New Roman" w:hAnsi="Calibri" w:cs="Calibri"/>
                <w:color w:val="000000"/>
                <w:lang w:eastAsia="hu-HU"/>
              </w:rPr>
            </w:pPr>
            <w:r w:rsidRPr="001C4DC5">
              <w:rPr>
                <w:rFonts w:ascii="Calibri" w:eastAsia="Times New Roman" w:hAnsi="Calibri" w:cs="Calibri"/>
                <w:color w:val="000000"/>
                <w:lang w:eastAsia="hu-HU"/>
              </w:rPr>
              <w:t>Óbudai Egyetem számviteli vagyonmérlegének bemutatása 2020-2021. év</w:t>
            </w:r>
          </w:p>
        </w:tc>
      </w:tr>
      <w:tr w:rsidR="001C4DC5" w:rsidRPr="001C4DC5" w:rsidTr="002B2DF2">
        <w:trPr>
          <w:trHeight w:val="300"/>
        </w:trPr>
        <w:tc>
          <w:tcPr>
            <w:tcW w:w="4111" w:type="dxa"/>
            <w:vMerge w:val="restart"/>
            <w:tcBorders>
              <w:top w:val="nil"/>
              <w:left w:val="single" w:sz="8" w:space="0" w:color="auto"/>
              <w:bottom w:val="single" w:sz="8" w:space="0" w:color="000000"/>
              <w:right w:val="single" w:sz="8" w:space="0" w:color="auto"/>
            </w:tcBorders>
            <w:shd w:val="clear" w:color="auto" w:fill="auto"/>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Megnevezés</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2020. év</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2021. év</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lang w:eastAsia="hu-HU"/>
              </w:rPr>
            </w:pPr>
            <w:r w:rsidRPr="001C4DC5">
              <w:rPr>
                <w:rFonts w:ascii="Times New Roman" w:eastAsia="Times New Roman" w:hAnsi="Times New Roman" w:cs="Times New Roman"/>
                <w:b/>
                <w:bCs/>
                <w:color w:val="000000"/>
                <w:lang w:eastAsia="hu-HU"/>
              </w:rPr>
              <w:t>Változás</w:t>
            </w:r>
          </w:p>
        </w:tc>
      </w:tr>
      <w:tr w:rsidR="001C4DC5" w:rsidRPr="001C4DC5" w:rsidTr="002B2DF2">
        <w:trPr>
          <w:trHeight w:val="450"/>
        </w:trPr>
        <w:tc>
          <w:tcPr>
            <w:tcW w:w="4111" w:type="dxa"/>
            <w:vMerge/>
            <w:tcBorders>
              <w:top w:val="nil"/>
              <w:left w:val="single" w:sz="8" w:space="0" w:color="auto"/>
              <w:bottom w:val="single" w:sz="8" w:space="0" w:color="000000"/>
              <w:right w:val="single" w:sz="8" w:space="0" w:color="auto"/>
            </w:tcBorders>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p>
        </w:tc>
        <w:tc>
          <w:tcPr>
            <w:tcW w:w="1985" w:type="dxa"/>
            <w:vMerge/>
            <w:tcBorders>
              <w:top w:val="nil"/>
              <w:left w:val="single" w:sz="8" w:space="0" w:color="auto"/>
              <w:bottom w:val="single" w:sz="8" w:space="0" w:color="000000"/>
              <w:right w:val="single" w:sz="8" w:space="0" w:color="auto"/>
            </w:tcBorders>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p>
        </w:tc>
        <w:tc>
          <w:tcPr>
            <w:tcW w:w="1559" w:type="dxa"/>
            <w:vMerge/>
            <w:tcBorders>
              <w:top w:val="nil"/>
              <w:left w:val="single" w:sz="8" w:space="0" w:color="auto"/>
              <w:bottom w:val="single" w:sz="8" w:space="0" w:color="000000"/>
              <w:right w:val="single" w:sz="8" w:space="0" w:color="auto"/>
            </w:tcBorders>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p>
        </w:tc>
        <w:tc>
          <w:tcPr>
            <w:tcW w:w="1276" w:type="dxa"/>
            <w:vMerge/>
            <w:tcBorders>
              <w:top w:val="nil"/>
              <w:left w:val="single" w:sz="8" w:space="0" w:color="auto"/>
              <w:bottom w:val="single" w:sz="8" w:space="0" w:color="000000"/>
              <w:right w:val="single" w:sz="8" w:space="0" w:color="auto"/>
            </w:tcBorders>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lang w:eastAsia="hu-HU"/>
              </w:rPr>
            </w:pPr>
          </w:p>
        </w:tc>
      </w:tr>
      <w:tr w:rsidR="001C4DC5" w:rsidRPr="001C4DC5" w:rsidTr="002B2DF2">
        <w:trPr>
          <w:trHeight w:val="315"/>
        </w:trPr>
        <w:tc>
          <w:tcPr>
            <w:tcW w:w="4111" w:type="dxa"/>
            <w:vMerge/>
            <w:tcBorders>
              <w:top w:val="nil"/>
              <w:left w:val="single" w:sz="8" w:space="0" w:color="auto"/>
              <w:bottom w:val="single" w:sz="8" w:space="0" w:color="000000"/>
              <w:right w:val="single" w:sz="8" w:space="0" w:color="auto"/>
            </w:tcBorders>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p>
        </w:tc>
        <w:tc>
          <w:tcPr>
            <w:tcW w:w="3544" w:type="dxa"/>
            <w:gridSpan w:val="2"/>
            <w:tcBorders>
              <w:top w:val="single" w:sz="8" w:space="0" w:color="auto"/>
              <w:left w:val="nil"/>
              <w:bottom w:val="single" w:sz="8" w:space="0" w:color="auto"/>
              <w:right w:val="single" w:sz="8" w:space="0" w:color="000000"/>
            </w:tcBorders>
            <w:shd w:val="clear" w:color="auto" w:fill="auto"/>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adatok </w:t>
            </w:r>
            <w:proofErr w:type="spellStart"/>
            <w:r w:rsidRPr="001C4DC5">
              <w:rPr>
                <w:rFonts w:ascii="Times New Roman" w:eastAsia="Times New Roman" w:hAnsi="Times New Roman" w:cs="Times New Roman"/>
                <w:b/>
                <w:bCs/>
                <w:color w:val="000000"/>
                <w:sz w:val="20"/>
                <w:szCs w:val="20"/>
                <w:lang w:eastAsia="hu-HU"/>
              </w:rPr>
              <w:t>EFt</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center"/>
              <w:rPr>
                <w:rFonts w:ascii="Times New Roman" w:eastAsia="Times New Roman" w:hAnsi="Times New Roman" w:cs="Times New Roman"/>
                <w:b/>
                <w:bCs/>
                <w:color w:val="000000"/>
                <w:lang w:eastAsia="hu-HU"/>
              </w:rPr>
            </w:pPr>
            <w:r w:rsidRPr="001C4DC5">
              <w:rPr>
                <w:rFonts w:ascii="Times New Roman" w:eastAsia="Times New Roman" w:hAnsi="Times New Roman" w:cs="Times New Roman"/>
                <w:b/>
                <w:bCs/>
                <w:color w:val="000000"/>
                <w:lang w:eastAsia="hu-HU"/>
              </w:rPr>
              <w:t>%</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A/I        Immateriális javak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26 248</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26 179</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99,74%</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A/II        Tárgyi eszközök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9 185 470</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9 292 468</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101,16%</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A/III        Befektetett pénzügyi eszközök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3 005</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3 005</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100,00%</w:t>
            </w:r>
          </w:p>
        </w:tc>
      </w:tr>
      <w:tr w:rsidR="001C4DC5" w:rsidRPr="001C4DC5" w:rsidTr="002B2DF2">
        <w:trPr>
          <w:trHeight w:val="780"/>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A)        NEMZETI VAGYONBA TARTOZÓ BEFEKTETETT ESZKÖZÖK (=A/I+A/II+A/III)</w:t>
            </w:r>
          </w:p>
        </w:tc>
        <w:tc>
          <w:tcPr>
            <w:tcW w:w="1985"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9 214 723</w:t>
            </w:r>
          </w:p>
        </w:tc>
        <w:tc>
          <w:tcPr>
            <w:tcW w:w="1559"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9 321 652</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101,16%</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B/I        Készletek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10 380</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0,00%</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B)        NEMZETI VAGYONBA TARTOZÓ FORGÓESZKÖZÖK </w:t>
            </w:r>
          </w:p>
        </w:tc>
        <w:tc>
          <w:tcPr>
            <w:tcW w:w="1985"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10 380</w:t>
            </w:r>
          </w:p>
        </w:tc>
        <w:tc>
          <w:tcPr>
            <w:tcW w:w="1559"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0,00%</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C)        PÉNZESZKÖZÖK</w:t>
            </w:r>
          </w:p>
        </w:tc>
        <w:tc>
          <w:tcPr>
            <w:tcW w:w="1985"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4 402 912</w:t>
            </w:r>
          </w:p>
        </w:tc>
        <w:tc>
          <w:tcPr>
            <w:tcW w:w="1559"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17 844</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0,41%</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D/I        Költségvetési évben esedékes követelések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187 539</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98 195</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52,36%</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lastRenderedPageBreak/>
              <w:t xml:space="preserve">D/II        Költségvetési évet követően esedékes követelések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468</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290</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61,97%</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D/III        Követelés jellegű sajátos elszámolások </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8 391</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0,00%</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D)        KÖVETELÉSEK (=D/I+D/II+D/III) </w:t>
            </w:r>
          </w:p>
        </w:tc>
        <w:tc>
          <w:tcPr>
            <w:tcW w:w="1985"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196 398</w:t>
            </w:r>
          </w:p>
        </w:tc>
        <w:tc>
          <w:tcPr>
            <w:tcW w:w="1559"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98 485</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50,15%</w:t>
            </w:r>
          </w:p>
        </w:tc>
      </w:tr>
      <w:tr w:rsidR="001C4DC5" w:rsidRPr="001C4DC5" w:rsidTr="002B2DF2">
        <w:trPr>
          <w:trHeight w:val="780"/>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E) EGYÉB SAJÁTOS ESZKÖZOLDALI  ELSZÁMOLÁSOK </w:t>
            </w:r>
          </w:p>
        </w:tc>
        <w:tc>
          <w:tcPr>
            <w:tcW w:w="1985"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31 819</w:t>
            </w:r>
          </w:p>
        </w:tc>
        <w:tc>
          <w:tcPr>
            <w:tcW w:w="1559"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0,00%</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F)        AKTÍV IDŐBELI ELHATÁROLÁSOK </w:t>
            </w:r>
          </w:p>
        </w:tc>
        <w:tc>
          <w:tcPr>
            <w:tcW w:w="1985"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14 314</w:t>
            </w:r>
          </w:p>
        </w:tc>
        <w:tc>
          <w:tcPr>
            <w:tcW w:w="1559"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58 255</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406,98%</w:t>
            </w:r>
          </w:p>
        </w:tc>
      </w:tr>
      <w:tr w:rsidR="001C4DC5" w:rsidRPr="001C4DC5" w:rsidTr="002B2DF2">
        <w:trPr>
          <w:trHeight w:val="406"/>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ESZKÖZÖK ÖSSZESEN (=A+B+C+D+E+F) </w:t>
            </w:r>
          </w:p>
        </w:tc>
        <w:tc>
          <w:tcPr>
            <w:tcW w:w="1985"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13 870 546</w:t>
            </w:r>
          </w:p>
        </w:tc>
        <w:tc>
          <w:tcPr>
            <w:tcW w:w="1559"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9 496 238</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68,46%</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G/I        Nemzeti vagyon induláskori értéke</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11 937 037</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11 937 037</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100,00%</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G/II       Nemzeti vagyon változásai</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1 059 649</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1 038 133</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97,97%</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G/III        Egyéb eszközök induláskori értéke és változásai</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1 867 898</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1 867 898</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100,00%</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G/IV        Felhalmozott eredmény</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-5 077 487</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-4 243 811</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83,58%</w:t>
            </w:r>
          </w:p>
        </w:tc>
      </w:tr>
      <w:tr w:rsidR="001C4DC5" w:rsidRPr="001C4DC5" w:rsidTr="002B2DF2">
        <w:trPr>
          <w:trHeight w:val="324"/>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G/VI        Mérleg szerinti eredmény</w:t>
            </w:r>
          </w:p>
        </w:tc>
        <w:tc>
          <w:tcPr>
            <w:tcW w:w="1985"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835 339</w:t>
            </w:r>
          </w:p>
        </w:tc>
        <w:tc>
          <w:tcPr>
            <w:tcW w:w="1559" w:type="dxa"/>
            <w:tcBorders>
              <w:top w:val="nil"/>
              <w:left w:val="nil"/>
              <w:bottom w:val="single" w:sz="8" w:space="0" w:color="auto"/>
              <w:right w:val="single" w:sz="8" w:space="0" w:color="auto"/>
            </w:tcBorders>
            <w:shd w:val="clear" w:color="auto" w:fill="auto"/>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-2 911 976</w:t>
            </w:r>
          </w:p>
        </w:tc>
        <w:tc>
          <w:tcPr>
            <w:tcW w:w="1276" w:type="dxa"/>
            <w:tcBorders>
              <w:top w:val="nil"/>
              <w:left w:val="nil"/>
              <w:bottom w:val="single" w:sz="8" w:space="0" w:color="auto"/>
              <w:right w:val="single" w:sz="8" w:space="0" w:color="auto"/>
            </w:tcBorders>
            <w:shd w:val="clear" w:color="auto" w:fill="auto"/>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-348,60%</w:t>
            </w:r>
          </w:p>
        </w:tc>
      </w:tr>
      <w:tr w:rsidR="001C4DC5" w:rsidRPr="001C4DC5" w:rsidTr="002B2DF2">
        <w:trPr>
          <w:trHeight w:val="333"/>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G)        SAJÁT TŐKE (=G/I+…+G/VI) </w:t>
            </w:r>
          </w:p>
        </w:tc>
        <w:tc>
          <w:tcPr>
            <w:tcW w:w="1985"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10 622 436</w:t>
            </w:r>
          </w:p>
        </w:tc>
        <w:tc>
          <w:tcPr>
            <w:tcW w:w="1559"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7 687 280</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72,37%</w:t>
            </w:r>
          </w:p>
        </w:tc>
      </w:tr>
      <w:tr w:rsidR="001C4DC5" w:rsidRPr="001C4DC5" w:rsidTr="002B2DF2">
        <w:trPr>
          <w:trHeight w:val="330"/>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H)        KÖTELEZETTSÉGEK</w:t>
            </w:r>
          </w:p>
        </w:tc>
        <w:tc>
          <w:tcPr>
            <w:tcW w:w="1985"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643 353</w:t>
            </w:r>
          </w:p>
        </w:tc>
        <w:tc>
          <w:tcPr>
            <w:tcW w:w="1559"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17 576</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2,73%</w:t>
            </w:r>
          </w:p>
        </w:tc>
      </w:tr>
      <w:tr w:rsidR="001C4DC5" w:rsidRPr="001C4DC5" w:rsidTr="002B2DF2">
        <w:trPr>
          <w:trHeight w:val="525"/>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J)        PASSZÍV IDŐBELI ELHATÁROLÁSOK</w:t>
            </w:r>
          </w:p>
        </w:tc>
        <w:tc>
          <w:tcPr>
            <w:tcW w:w="1985"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2 604 757</w:t>
            </w:r>
          </w:p>
        </w:tc>
        <w:tc>
          <w:tcPr>
            <w:tcW w:w="1559" w:type="dxa"/>
            <w:tcBorders>
              <w:top w:val="nil"/>
              <w:left w:val="nil"/>
              <w:bottom w:val="single" w:sz="8" w:space="0" w:color="auto"/>
              <w:right w:val="single" w:sz="8" w:space="0" w:color="auto"/>
            </w:tcBorders>
            <w:shd w:val="clear" w:color="000000" w:fill="DBDBDB"/>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1 791 381</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68,77%</w:t>
            </w:r>
          </w:p>
        </w:tc>
      </w:tr>
      <w:tr w:rsidR="001C4DC5" w:rsidRPr="001C4DC5" w:rsidTr="002B2DF2">
        <w:trPr>
          <w:trHeight w:val="312"/>
        </w:trPr>
        <w:tc>
          <w:tcPr>
            <w:tcW w:w="4111" w:type="dxa"/>
            <w:tcBorders>
              <w:top w:val="nil"/>
              <w:left w:val="single" w:sz="8" w:space="0" w:color="auto"/>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rPr>
                <w:rFonts w:ascii="Times New Roman" w:eastAsia="Times New Roman" w:hAnsi="Times New Roman" w:cs="Times New Roman"/>
                <w:b/>
                <w:bCs/>
                <w:color w:val="000000"/>
                <w:sz w:val="20"/>
                <w:szCs w:val="20"/>
                <w:lang w:eastAsia="hu-HU"/>
              </w:rPr>
            </w:pPr>
            <w:r w:rsidRPr="001C4DC5">
              <w:rPr>
                <w:rFonts w:ascii="Times New Roman" w:eastAsia="Times New Roman" w:hAnsi="Times New Roman" w:cs="Times New Roman"/>
                <w:b/>
                <w:bCs/>
                <w:color w:val="000000"/>
                <w:sz w:val="20"/>
                <w:szCs w:val="20"/>
                <w:lang w:eastAsia="hu-HU"/>
              </w:rPr>
              <w:t xml:space="preserve">FORRÁSOK ÖSSZESEN (=G+H+I+J) </w:t>
            </w:r>
          </w:p>
        </w:tc>
        <w:tc>
          <w:tcPr>
            <w:tcW w:w="1985"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13 870 546</w:t>
            </w:r>
          </w:p>
        </w:tc>
        <w:tc>
          <w:tcPr>
            <w:tcW w:w="1559" w:type="dxa"/>
            <w:tcBorders>
              <w:top w:val="nil"/>
              <w:left w:val="nil"/>
              <w:bottom w:val="single" w:sz="8" w:space="0" w:color="auto"/>
              <w:right w:val="single" w:sz="8" w:space="0" w:color="auto"/>
            </w:tcBorders>
            <w:shd w:val="clear" w:color="000000" w:fill="D9D9D9"/>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9 496 238</w:t>
            </w:r>
          </w:p>
        </w:tc>
        <w:tc>
          <w:tcPr>
            <w:tcW w:w="1276" w:type="dxa"/>
            <w:tcBorders>
              <w:top w:val="nil"/>
              <w:left w:val="nil"/>
              <w:bottom w:val="single" w:sz="8" w:space="0" w:color="auto"/>
              <w:right w:val="single" w:sz="8" w:space="0" w:color="auto"/>
            </w:tcBorders>
            <w:shd w:val="clear" w:color="000000" w:fill="D9D9D9"/>
            <w:noWrap/>
            <w:vAlign w:val="center"/>
            <w:hideMark/>
          </w:tcPr>
          <w:p w:rsidR="001C4DC5" w:rsidRPr="001C4DC5" w:rsidRDefault="001C4DC5" w:rsidP="001C4DC5">
            <w:pPr>
              <w:spacing w:after="0" w:line="240" w:lineRule="auto"/>
              <w:jc w:val="right"/>
              <w:rPr>
                <w:rFonts w:ascii="Times New Roman" w:eastAsia="Times New Roman" w:hAnsi="Times New Roman" w:cs="Times New Roman"/>
                <w:color w:val="000000"/>
                <w:sz w:val="24"/>
                <w:szCs w:val="24"/>
                <w:lang w:eastAsia="hu-HU"/>
              </w:rPr>
            </w:pPr>
            <w:r w:rsidRPr="001C4DC5">
              <w:rPr>
                <w:rFonts w:ascii="Times New Roman" w:eastAsia="Times New Roman" w:hAnsi="Times New Roman" w:cs="Times New Roman"/>
                <w:color w:val="000000"/>
                <w:sz w:val="24"/>
                <w:szCs w:val="24"/>
                <w:lang w:eastAsia="hu-HU"/>
              </w:rPr>
              <w:t>68,46%</w:t>
            </w:r>
          </w:p>
        </w:tc>
      </w:tr>
    </w:tbl>
    <w:p w:rsidR="00B3284D" w:rsidRDefault="00B3284D" w:rsidP="002B2DF2">
      <w:pPr>
        <w:spacing w:after="0"/>
        <w:jc w:val="both"/>
        <w:rPr>
          <w:rFonts w:ascii="Times New Roman" w:hAnsi="Times New Roman" w:cs="Times New Roman"/>
          <w:sz w:val="24"/>
          <w:szCs w:val="24"/>
        </w:rPr>
      </w:pPr>
    </w:p>
    <w:p w:rsidR="00CB4FFC" w:rsidRDefault="0059062E" w:rsidP="008C6430">
      <w:pPr>
        <w:jc w:val="both"/>
        <w:rPr>
          <w:rFonts w:ascii="Times New Roman" w:hAnsi="Times New Roman" w:cs="Times New Roman"/>
          <w:sz w:val="24"/>
          <w:szCs w:val="24"/>
        </w:rPr>
      </w:pPr>
      <w:r>
        <w:rPr>
          <w:rFonts w:ascii="Times New Roman" w:hAnsi="Times New Roman" w:cs="Times New Roman"/>
          <w:sz w:val="24"/>
          <w:szCs w:val="24"/>
        </w:rPr>
        <w:t xml:space="preserve">A mérlegben </w:t>
      </w:r>
      <w:r w:rsidR="001C4DC5">
        <w:rPr>
          <w:rFonts w:ascii="Times New Roman" w:hAnsi="Times New Roman" w:cs="Times New Roman"/>
          <w:sz w:val="24"/>
          <w:szCs w:val="24"/>
        </w:rPr>
        <w:t xml:space="preserve">megfigyelhető a nagymértékű átrendeződés az előző gazdasági év költségvetési beszámolójának mérlegadataihoz képest. A leginkább szembetűnő változás, hogy az egyetem pénzeszközei szinte teljesen eltűntek, a fenntartó részére történő visszautalás miatt, aminek következtében a mérleg szerinti eredményünk is igen jelentős negatív értéket mutat. </w:t>
      </w:r>
      <w:r w:rsidR="002B2DF2">
        <w:rPr>
          <w:rFonts w:ascii="Times New Roman" w:hAnsi="Times New Roman" w:cs="Times New Roman"/>
          <w:sz w:val="24"/>
          <w:szCs w:val="24"/>
        </w:rPr>
        <w:t xml:space="preserve">A pénzeszközök </w:t>
      </w:r>
      <w:bookmarkStart w:id="0" w:name="_GoBack"/>
      <w:bookmarkEnd w:id="0"/>
      <w:r w:rsidR="002B2DF2">
        <w:rPr>
          <w:rFonts w:ascii="Times New Roman" w:hAnsi="Times New Roman" w:cs="Times New Roman"/>
          <w:sz w:val="24"/>
          <w:szCs w:val="24"/>
        </w:rPr>
        <w:lastRenderedPageBreak/>
        <w:t xml:space="preserve">között egyedül az Egyetem OTP banknál vezetett lakáskölcsön számlánk egyenlege </w:t>
      </w:r>
      <w:r w:rsidR="00CB4FFC">
        <w:rPr>
          <w:rFonts w:ascii="Times New Roman" w:hAnsi="Times New Roman" w:cs="Times New Roman"/>
          <w:sz w:val="24"/>
          <w:szCs w:val="24"/>
        </w:rPr>
        <w:t>jelenik meg</w:t>
      </w:r>
      <w:r w:rsidR="002B2DF2">
        <w:rPr>
          <w:rFonts w:ascii="Times New Roman" w:hAnsi="Times New Roman" w:cs="Times New Roman"/>
          <w:sz w:val="24"/>
          <w:szCs w:val="24"/>
        </w:rPr>
        <w:t>.</w:t>
      </w:r>
    </w:p>
    <w:p w:rsidR="00487A42" w:rsidRDefault="001C4DC5" w:rsidP="008C6430">
      <w:pPr>
        <w:jc w:val="both"/>
        <w:rPr>
          <w:rFonts w:ascii="Times New Roman" w:hAnsi="Times New Roman" w:cs="Times New Roman"/>
          <w:sz w:val="24"/>
          <w:szCs w:val="24"/>
        </w:rPr>
      </w:pPr>
      <w:r>
        <w:rPr>
          <w:rFonts w:ascii="Times New Roman" w:hAnsi="Times New Roman" w:cs="Times New Roman"/>
          <w:sz w:val="24"/>
          <w:szCs w:val="24"/>
        </w:rPr>
        <w:t>A modellváltás</w:t>
      </w:r>
      <w:r w:rsidR="00CB4FFC">
        <w:rPr>
          <w:rFonts w:ascii="Times New Roman" w:hAnsi="Times New Roman" w:cs="Times New Roman"/>
          <w:sz w:val="24"/>
          <w:szCs w:val="24"/>
        </w:rPr>
        <w:t xml:space="preserve"> előkészületének</w:t>
      </w:r>
      <w:r>
        <w:rPr>
          <w:rFonts w:ascii="Times New Roman" w:hAnsi="Times New Roman" w:cs="Times New Roman"/>
          <w:sz w:val="24"/>
          <w:szCs w:val="24"/>
        </w:rPr>
        <w:t xml:space="preserve"> egyik legfontosabb momentumaként próbáltuk minima</w:t>
      </w:r>
      <w:r w:rsidR="002B2DF2">
        <w:rPr>
          <w:rFonts w:ascii="Times New Roman" w:hAnsi="Times New Roman" w:cs="Times New Roman"/>
          <w:sz w:val="24"/>
          <w:szCs w:val="24"/>
        </w:rPr>
        <w:t>lizálni a fennmaradó követelés és kötelezettség állományunkat.</w:t>
      </w:r>
      <w:r w:rsidR="00CB4FFC">
        <w:rPr>
          <w:rFonts w:ascii="Times New Roman" w:hAnsi="Times New Roman" w:cs="Times New Roman"/>
          <w:sz w:val="24"/>
          <w:szCs w:val="24"/>
        </w:rPr>
        <w:t xml:space="preserve"> </w:t>
      </w:r>
    </w:p>
    <w:p w:rsidR="007D0666" w:rsidRDefault="007D0666" w:rsidP="008C6430">
      <w:pPr>
        <w:jc w:val="both"/>
        <w:rPr>
          <w:rFonts w:ascii="Times New Roman" w:hAnsi="Times New Roman" w:cs="Times New Roman"/>
          <w:sz w:val="24"/>
          <w:szCs w:val="24"/>
        </w:rPr>
      </w:pPr>
    </w:p>
    <w:p w:rsidR="00487A42" w:rsidRPr="007D0666" w:rsidRDefault="00487A42" w:rsidP="007D0666">
      <w:pPr>
        <w:pStyle w:val="Cmsor1"/>
        <w:rPr>
          <w:rFonts w:ascii="Times New Roman" w:hAnsi="Times New Roman" w:cs="Times New Roman"/>
          <w:sz w:val="24"/>
          <w:szCs w:val="24"/>
        </w:rPr>
      </w:pPr>
      <w:r w:rsidRPr="007D0666">
        <w:rPr>
          <w:rFonts w:ascii="Times New Roman" w:hAnsi="Times New Roman" w:cs="Times New Roman"/>
          <w:sz w:val="24"/>
          <w:szCs w:val="24"/>
        </w:rPr>
        <w:t>Összefoglalás</w:t>
      </w:r>
    </w:p>
    <w:p w:rsidR="00CF3BC5" w:rsidRDefault="000F6F00" w:rsidP="00CB4FFC">
      <w:pPr>
        <w:jc w:val="both"/>
        <w:rPr>
          <w:rFonts w:ascii="Times New Roman" w:hAnsi="Times New Roman" w:cs="Times New Roman"/>
          <w:sz w:val="24"/>
          <w:szCs w:val="24"/>
        </w:rPr>
      </w:pPr>
      <w:r>
        <w:rPr>
          <w:rFonts w:ascii="Times New Roman" w:hAnsi="Times New Roman" w:cs="Times New Roman"/>
          <w:sz w:val="24"/>
          <w:szCs w:val="24"/>
        </w:rPr>
        <w:t>Az Óbudai Egyetem 202</w:t>
      </w:r>
      <w:r w:rsidR="002B2DF2">
        <w:rPr>
          <w:rFonts w:ascii="Times New Roman" w:hAnsi="Times New Roman" w:cs="Times New Roman"/>
          <w:sz w:val="24"/>
          <w:szCs w:val="24"/>
        </w:rPr>
        <w:t>1</w:t>
      </w:r>
      <w:r w:rsidR="00487A42">
        <w:rPr>
          <w:rFonts w:ascii="Times New Roman" w:hAnsi="Times New Roman" w:cs="Times New Roman"/>
          <w:sz w:val="24"/>
          <w:szCs w:val="24"/>
        </w:rPr>
        <w:t xml:space="preserve">. év során a forrásait az alaptevékenységeinek minél magasabb színvonalú ellátása érdekében használta fel. </w:t>
      </w:r>
      <w:r w:rsidR="008579D2">
        <w:rPr>
          <w:rFonts w:ascii="Times New Roman" w:hAnsi="Times New Roman"/>
          <w:sz w:val="24"/>
          <w:szCs w:val="24"/>
        </w:rPr>
        <w:t>A folytatólagos COVID-19 világjárvány által okozott rendkívüli működési gyakorlat és a modellváltásra való felkészülés ellenére is sikerült az intézménynek feladatait ellátni a beszámoló időszakában.</w:t>
      </w:r>
    </w:p>
    <w:p w:rsidR="00487A42" w:rsidRDefault="00487A42" w:rsidP="008C6430">
      <w:pPr>
        <w:jc w:val="both"/>
        <w:rPr>
          <w:rFonts w:ascii="Times New Roman" w:hAnsi="Times New Roman" w:cs="Times New Roman"/>
          <w:sz w:val="24"/>
          <w:szCs w:val="24"/>
        </w:rPr>
      </w:pPr>
      <w:r>
        <w:rPr>
          <w:rFonts w:ascii="Times New Roman" w:hAnsi="Times New Roman" w:cs="Times New Roman"/>
          <w:sz w:val="24"/>
          <w:szCs w:val="24"/>
        </w:rPr>
        <w:t xml:space="preserve">Az alaptevékenységek ellátásához az </w:t>
      </w:r>
      <w:r w:rsidR="001F069A">
        <w:rPr>
          <w:rFonts w:ascii="Times New Roman" w:hAnsi="Times New Roman" w:cs="Times New Roman"/>
          <w:sz w:val="24"/>
          <w:szCs w:val="24"/>
        </w:rPr>
        <w:t>E</w:t>
      </w:r>
      <w:r>
        <w:rPr>
          <w:rFonts w:ascii="Times New Roman" w:hAnsi="Times New Roman" w:cs="Times New Roman"/>
          <w:sz w:val="24"/>
          <w:szCs w:val="24"/>
        </w:rPr>
        <w:t>gyetem megfelelő forrással rende</w:t>
      </w:r>
      <w:r w:rsidR="002B2DF2">
        <w:rPr>
          <w:rFonts w:ascii="Times New Roman" w:hAnsi="Times New Roman" w:cs="Times New Roman"/>
          <w:sz w:val="24"/>
          <w:szCs w:val="24"/>
        </w:rPr>
        <w:t>lkezett, a pénzügyi egyensúly a vonatkozó időszakban</w:t>
      </w:r>
      <w:r>
        <w:rPr>
          <w:rFonts w:ascii="Times New Roman" w:hAnsi="Times New Roman" w:cs="Times New Roman"/>
          <w:sz w:val="24"/>
          <w:szCs w:val="24"/>
        </w:rPr>
        <w:t xml:space="preserve"> biztosított volt, likviditási problémák nem jelentkeztek.</w:t>
      </w:r>
    </w:p>
    <w:p w:rsidR="00487A42" w:rsidRDefault="00487A42" w:rsidP="00CB4FFC">
      <w:pPr>
        <w:spacing w:after="0" w:line="240" w:lineRule="auto"/>
        <w:jc w:val="both"/>
        <w:rPr>
          <w:rFonts w:ascii="Times New Roman" w:hAnsi="Times New Roman" w:cs="Times New Roman"/>
          <w:sz w:val="24"/>
          <w:szCs w:val="24"/>
        </w:rPr>
      </w:pPr>
    </w:p>
    <w:p w:rsidR="007D0666" w:rsidRDefault="007D0666" w:rsidP="008C6430">
      <w:pPr>
        <w:jc w:val="both"/>
        <w:rPr>
          <w:rFonts w:ascii="Times New Roman" w:hAnsi="Times New Roman" w:cs="Times New Roman"/>
          <w:sz w:val="24"/>
          <w:szCs w:val="24"/>
        </w:rPr>
      </w:pPr>
    </w:p>
    <w:p w:rsidR="00487A42" w:rsidRDefault="000F6F00" w:rsidP="008C6430">
      <w:pPr>
        <w:jc w:val="both"/>
        <w:rPr>
          <w:rFonts w:ascii="Times New Roman" w:hAnsi="Times New Roman" w:cs="Times New Roman"/>
          <w:sz w:val="24"/>
          <w:szCs w:val="24"/>
        </w:rPr>
      </w:pPr>
      <w:r>
        <w:rPr>
          <w:rFonts w:ascii="Times New Roman" w:hAnsi="Times New Roman" w:cs="Times New Roman"/>
          <w:sz w:val="24"/>
          <w:szCs w:val="24"/>
        </w:rPr>
        <w:t>Budapest, 2021</w:t>
      </w:r>
      <w:r w:rsidR="00487A42">
        <w:rPr>
          <w:rFonts w:ascii="Times New Roman" w:hAnsi="Times New Roman" w:cs="Times New Roman"/>
          <w:sz w:val="24"/>
          <w:szCs w:val="24"/>
        </w:rPr>
        <w:t xml:space="preserve">. </w:t>
      </w:r>
      <w:r w:rsidR="00FE74A0">
        <w:rPr>
          <w:rFonts w:ascii="Times New Roman" w:hAnsi="Times New Roman" w:cs="Times New Roman"/>
          <w:sz w:val="24"/>
          <w:szCs w:val="24"/>
        </w:rPr>
        <w:t>október</w:t>
      </w:r>
      <w:r w:rsidR="00487A42">
        <w:rPr>
          <w:rFonts w:ascii="Times New Roman" w:hAnsi="Times New Roman" w:cs="Times New Roman"/>
          <w:sz w:val="24"/>
          <w:szCs w:val="24"/>
        </w:rPr>
        <w:t xml:space="preserve"> 2</w:t>
      </w:r>
      <w:r w:rsidR="00FE74A0">
        <w:rPr>
          <w:rFonts w:ascii="Times New Roman" w:hAnsi="Times New Roman" w:cs="Times New Roman"/>
          <w:sz w:val="24"/>
          <w:szCs w:val="24"/>
        </w:rPr>
        <w:t>0</w:t>
      </w:r>
      <w:r w:rsidR="00487A42">
        <w:rPr>
          <w:rFonts w:ascii="Times New Roman" w:hAnsi="Times New Roman" w:cs="Times New Roman"/>
          <w:sz w:val="24"/>
          <w:szCs w:val="24"/>
        </w:rPr>
        <w:t>.</w:t>
      </w:r>
    </w:p>
    <w:p w:rsidR="00487A42" w:rsidRDefault="00487A42" w:rsidP="008C6430">
      <w:pPr>
        <w:jc w:val="both"/>
        <w:rPr>
          <w:rFonts w:ascii="Times New Roman" w:hAnsi="Times New Roman" w:cs="Times New Roman"/>
          <w:sz w:val="24"/>
          <w:szCs w:val="24"/>
        </w:rPr>
      </w:pPr>
    </w:p>
    <w:p w:rsidR="00487A42" w:rsidRDefault="00487A42" w:rsidP="008C643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Ormándi Gabriella </w:t>
      </w:r>
    </w:p>
    <w:p w:rsidR="008C6430" w:rsidRPr="00962821" w:rsidRDefault="00487A42" w:rsidP="008C643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kancellár</w:t>
      </w:r>
      <w:proofErr w:type="gramEnd"/>
    </w:p>
    <w:sectPr w:rsidR="008C6430" w:rsidRPr="00962821">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CA9" w:rsidRDefault="00375CA9" w:rsidP="001919EB">
      <w:pPr>
        <w:spacing w:after="0" w:line="240" w:lineRule="auto"/>
      </w:pPr>
      <w:r>
        <w:separator/>
      </w:r>
    </w:p>
  </w:endnote>
  <w:endnote w:type="continuationSeparator" w:id="0">
    <w:p w:rsidR="00375CA9" w:rsidRDefault="00375CA9" w:rsidP="0019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CA9" w:rsidRDefault="00375CA9" w:rsidP="001919EB">
      <w:pPr>
        <w:spacing w:after="0" w:line="240" w:lineRule="auto"/>
      </w:pPr>
      <w:r>
        <w:separator/>
      </w:r>
    </w:p>
  </w:footnote>
  <w:footnote w:type="continuationSeparator" w:id="0">
    <w:p w:rsidR="00375CA9" w:rsidRDefault="00375CA9" w:rsidP="00191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Cím"/>
      <w:tag w:val=""/>
      <w:id w:val="1116400235"/>
      <w:placeholder>
        <w:docPart w:val="C2F3FDB16E0547968BDE5000A48B0CBD"/>
      </w:placeholder>
      <w:dataBinding w:prefixMappings="xmlns:ns0='http://purl.org/dc/elements/1.1/' xmlns:ns1='http://schemas.openxmlformats.org/package/2006/metadata/core-properties' " w:xpath="/ns1:coreProperties[1]/ns0:title[1]" w:storeItemID="{6C3C8BC8-F283-45AE-878A-BAB7291924A1}"/>
      <w:text/>
    </w:sdtPr>
    <w:sdtEndPr/>
    <w:sdtContent>
      <w:p w:rsidR="000D1851" w:rsidRDefault="000D1851" w:rsidP="001919EB">
        <w:pPr>
          <w:pStyle w:val="lfej"/>
          <w:rPr>
            <w:color w:val="7F7F7F" w:themeColor="text1" w:themeTint="80"/>
          </w:rPr>
        </w:pPr>
        <w:r>
          <w:rPr>
            <w:color w:val="7F7F7F" w:themeColor="text1" w:themeTint="80"/>
          </w:rPr>
          <w:t>Óbudai Egyetem 20</w:t>
        </w:r>
        <w:r w:rsidR="00CB4FFC">
          <w:rPr>
            <w:color w:val="7F7F7F" w:themeColor="text1" w:themeTint="80"/>
          </w:rPr>
          <w:t>21</w:t>
        </w:r>
        <w:r>
          <w:rPr>
            <w:color w:val="7F7F7F" w:themeColor="text1" w:themeTint="80"/>
          </w:rPr>
          <w:t xml:space="preserve">. évi költségvetési beszámolójának szöveges </w:t>
        </w:r>
        <w:proofErr w:type="gramStart"/>
        <w:r>
          <w:rPr>
            <w:color w:val="7F7F7F" w:themeColor="text1" w:themeTint="80"/>
          </w:rPr>
          <w:t>indoklása                 20</w:t>
        </w:r>
        <w:proofErr w:type="gramEnd"/>
        <w:r>
          <w:rPr>
            <w:color w:val="7F7F7F" w:themeColor="text1" w:themeTint="80"/>
          </w:rPr>
          <w:t>. sz. melléklet</w:t>
        </w:r>
      </w:p>
    </w:sdtContent>
  </w:sdt>
  <w:p w:rsidR="000D1851" w:rsidRDefault="000D185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15C52"/>
    <w:multiLevelType w:val="hybridMultilevel"/>
    <w:tmpl w:val="1864FD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485D65"/>
    <w:multiLevelType w:val="hybridMultilevel"/>
    <w:tmpl w:val="240A0204"/>
    <w:lvl w:ilvl="0" w:tplc="457C3678">
      <w:start w:val="201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7B6285"/>
    <w:multiLevelType w:val="hybridMultilevel"/>
    <w:tmpl w:val="97D445E2"/>
    <w:lvl w:ilvl="0" w:tplc="7B5840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C46EC7"/>
    <w:multiLevelType w:val="hybridMultilevel"/>
    <w:tmpl w:val="4510F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E50CF1"/>
    <w:multiLevelType w:val="multilevel"/>
    <w:tmpl w:val="574C99F4"/>
    <w:lvl w:ilvl="0">
      <w:start w:val="1"/>
      <w:numFmt w:val="upperRoman"/>
      <w:pStyle w:val="Cmsor1"/>
      <w:lvlText w:val="%1."/>
      <w:lvlJc w:val="right"/>
      <w:pPr>
        <w:ind w:left="432" w:hanging="432"/>
      </w:pPr>
      <w:rPr>
        <w:rFonts w:ascii="Times New Roman" w:hAnsi="Times New Roman" w:cs="Times New Roman" w:hint="default"/>
        <w:color w:val="auto"/>
        <w:sz w:val="24"/>
        <w:szCs w:val="24"/>
      </w:r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5" w15:restartNumberingAfterBreak="0">
    <w:nsid w:val="37F45607"/>
    <w:multiLevelType w:val="hybridMultilevel"/>
    <w:tmpl w:val="5F9C47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CD4406F"/>
    <w:multiLevelType w:val="hybridMultilevel"/>
    <w:tmpl w:val="68A87B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B16002"/>
    <w:multiLevelType w:val="hybridMultilevel"/>
    <w:tmpl w:val="126ABC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1B3213C"/>
    <w:multiLevelType w:val="hybridMultilevel"/>
    <w:tmpl w:val="607A7D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044C18"/>
    <w:multiLevelType w:val="hybridMultilevel"/>
    <w:tmpl w:val="8EB640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3402A49"/>
    <w:multiLevelType w:val="hybridMultilevel"/>
    <w:tmpl w:val="D96E0B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84D77AF"/>
    <w:multiLevelType w:val="hybridMultilevel"/>
    <w:tmpl w:val="91C230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11"/>
  </w:num>
  <w:num w:numId="6">
    <w:abstractNumId w:val="0"/>
  </w:num>
  <w:num w:numId="7">
    <w:abstractNumId w:val="10"/>
  </w:num>
  <w:num w:numId="8">
    <w:abstractNumId w:val="8"/>
  </w:num>
  <w:num w:numId="9">
    <w:abstractNumId w:val="7"/>
  </w:num>
  <w:num w:numId="10">
    <w:abstractNumId w:val="5"/>
  </w:num>
  <w:num w:numId="11">
    <w:abstractNumId w:val="9"/>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21"/>
    <w:rsid w:val="00043F06"/>
    <w:rsid w:val="00085AB7"/>
    <w:rsid w:val="00092219"/>
    <w:rsid w:val="000A213E"/>
    <w:rsid w:val="000B6743"/>
    <w:rsid w:val="000C40F3"/>
    <w:rsid w:val="000D0745"/>
    <w:rsid w:val="000D1851"/>
    <w:rsid w:val="000D5DFA"/>
    <w:rsid w:val="000D5FC1"/>
    <w:rsid w:val="000F3365"/>
    <w:rsid w:val="000F4730"/>
    <w:rsid w:val="000F509E"/>
    <w:rsid w:val="000F6F00"/>
    <w:rsid w:val="00151E26"/>
    <w:rsid w:val="00176FA6"/>
    <w:rsid w:val="00183363"/>
    <w:rsid w:val="001919EB"/>
    <w:rsid w:val="00195E96"/>
    <w:rsid w:val="001C4DC5"/>
    <w:rsid w:val="001D5D5B"/>
    <w:rsid w:val="001F0682"/>
    <w:rsid w:val="001F069A"/>
    <w:rsid w:val="0022081A"/>
    <w:rsid w:val="00240306"/>
    <w:rsid w:val="00245711"/>
    <w:rsid w:val="00270503"/>
    <w:rsid w:val="002720CF"/>
    <w:rsid w:val="00284A73"/>
    <w:rsid w:val="00297EEA"/>
    <w:rsid w:val="002B2DF2"/>
    <w:rsid w:val="002C594E"/>
    <w:rsid w:val="002F32B1"/>
    <w:rsid w:val="003328EE"/>
    <w:rsid w:val="003410AD"/>
    <w:rsid w:val="00342547"/>
    <w:rsid w:val="00344AD7"/>
    <w:rsid w:val="003469F3"/>
    <w:rsid w:val="003569BC"/>
    <w:rsid w:val="00375CA9"/>
    <w:rsid w:val="003808B4"/>
    <w:rsid w:val="003A4306"/>
    <w:rsid w:val="003E369C"/>
    <w:rsid w:val="00426257"/>
    <w:rsid w:val="004364AF"/>
    <w:rsid w:val="0048565C"/>
    <w:rsid w:val="00487A42"/>
    <w:rsid w:val="004D6C36"/>
    <w:rsid w:val="004F0A81"/>
    <w:rsid w:val="0051743B"/>
    <w:rsid w:val="00522715"/>
    <w:rsid w:val="0059062E"/>
    <w:rsid w:val="005D6CA6"/>
    <w:rsid w:val="005E16F9"/>
    <w:rsid w:val="006122ED"/>
    <w:rsid w:val="00616E97"/>
    <w:rsid w:val="0065572D"/>
    <w:rsid w:val="00657F0E"/>
    <w:rsid w:val="00685124"/>
    <w:rsid w:val="00692356"/>
    <w:rsid w:val="006A59EC"/>
    <w:rsid w:val="006F0D1D"/>
    <w:rsid w:val="00713787"/>
    <w:rsid w:val="007212B1"/>
    <w:rsid w:val="00722AC6"/>
    <w:rsid w:val="00723BB8"/>
    <w:rsid w:val="00772114"/>
    <w:rsid w:val="007B12FB"/>
    <w:rsid w:val="007D0666"/>
    <w:rsid w:val="00820AEA"/>
    <w:rsid w:val="00841DD3"/>
    <w:rsid w:val="00846036"/>
    <w:rsid w:val="008579D2"/>
    <w:rsid w:val="00883760"/>
    <w:rsid w:val="008A7273"/>
    <w:rsid w:val="008A7359"/>
    <w:rsid w:val="008A7C26"/>
    <w:rsid w:val="008C6430"/>
    <w:rsid w:val="008E48CC"/>
    <w:rsid w:val="00943450"/>
    <w:rsid w:val="009440C0"/>
    <w:rsid w:val="00962821"/>
    <w:rsid w:val="009C492C"/>
    <w:rsid w:val="009D23BF"/>
    <w:rsid w:val="00A20764"/>
    <w:rsid w:val="00A55576"/>
    <w:rsid w:val="00A70D1A"/>
    <w:rsid w:val="00AC7B80"/>
    <w:rsid w:val="00AE4435"/>
    <w:rsid w:val="00AF2B64"/>
    <w:rsid w:val="00B15222"/>
    <w:rsid w:val="00B3284D"/>
    <w:rsid w:val="00BA7054"/>
    <w:rsid w:val="00C2090D"/>
    <w:rsid w:val="00C409A4"/>
    <w:rsid w:val="00C52F0F"/>
    <w:rsid w:val="00CB4FFC"/>
    <w:rsid w:val="00CF3BC5"/>
    <w:rsid w:val="00CF4EA9"/>
    <w:rsid w:val="00D30127"/>
    <w:rsid w:val="00D538F7"/>
    <w:rsid w:val="00DB0C83"/>
    <w:rsid w:val="00DD124A"/>
    <w:rsid w:val="00DE112F"/>
    <w:rsid w:val="00E2016F"/>
    <w:rsid w:val="00E66F82"/>
    <w:rsid w:val="00E80F28"/>
    <w:rsid w:val="00ED431F"/>
    <w:rsid w:val="00EF376A"/>
    <w:rsid w:val="00EF6E71"/>
    <w:rsid w:val="00F16B95"/>
    <w:rsid w:val="00F26FF2"/>
    <w:rsid w:val="00F30F51"/>
    <w:rsid w:val="00F806AA"/>
    <w:rsid w:val="00F80C51"/>
    <w:rsid w:val="00F818E9"/>
    <w:rsid w:val="00F85678"/>
    <w:rsid w:val="00FE74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1696F-11AA-4E03-95C1-4BA8AED2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245711"/>
    <w:pPr>
      <w:keepNext/>
      <w:keepLines/>
      <w:numPr>
        <w:numId w:val="12"/>
      </w:numPr>
      <w:spacing w:before="240" w:after="120"/>
      <w:outlineLvl w:val="0"/>
    </w:pPr>
    <w:rPr>
      <w:rFonts w:ascii="Arial Narrow" w:eastAsiaTheme="majorEastAsia" w:hAnsi="Arial Narrow" w:cstheme="majorBidi"/>
      <w:b/>
      <w:color w:val="002060"/>
      <w:szCs w:val="32"/>
    </w:rPr>
  </w:style>
  <w:style w:type="paragraph" w:styleId="Cmsor2">
    <w:name w:val="heading 2"/>
    <w:basedOn w:val="Norml"/>
    <w:next w:val="Norml"/>
    <w:link w:val="Cmsor2Char"/>
    <w:uiPriority w:val="9"/>
    <w:unhideWhenUsed/>
    <w:qFormat/>
    <w:rsid w:val="00245711"/>
    <w:pPr>
      <w:keepNext/>
      <w:keepLines/>
      <w:numPr>
        <w:ilvl w:val="1"/>
        <w:numId w:val="12"/>
      </w:numPr>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245711"/>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245711"/>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245711"/>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245711"/>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245711"/>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24571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24571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62821"/>
    <w:pPr>
      <w:ind w:left="720"/>
      <w:contextualSpacing/>
    </w:pPr>
  </w:style>
  <w:style w:type="paragraph" w:styleId="lfej">
    <w:name w:val="header"/>
    <w:basedOn w:val="Norml"/>
    <w:link w:val="lfejChar"/>
    <w:uiPriority w:val="99"/>
    <w:unhideWhenUsed/>
    <w:rsid w:val="001919EB"/>
    <w:pPr>
      <w:tabs>
        <w:tab w:val="center" w:pos="4536"/>
        <w:tab w:val="right" w:pos="9072"/>
      </w:tabs>
      <w:spacing w:after="0" w:line="240" w:lineRule="auto"/>
    </w:pPr>
  </w:style>
  <w:style w:type="character" w:customStyle="1" w:styleId="lfejChar">
    <w:name w:val="Élőfej Char"/>
    <w:basedOn w:val="Bekezdsalapbettpusa"/>
    <w:link w:val="lfej"/>
    <w:uiPriority w:val="99"/>
    <w:rsid w:val="001919EB"/>
  </w:style>
  <w:style w:type="paragraph" w:styleId="llb">
    <w:name w:val="footer"/>
    <w:basedOn w:val="Norml"/>
    <w:link w:val="llbChar"/>
    <w:uiPriority w:val="99"/>
    <w:unhideWhenUsed/>
    <w:rsid w:val="001919EB"/>
    <w:pPr>
      <w:tabs>
        <w:tab w:val="center" w:pos="4536"/>
        <w:tab w:val="right" w:pos="9072"/>
      </w:tabs>
      <w:spacing w:after="0" w:line="240" w:lineRule="auto"/>
    </w:pPr>
  </w:style>
  <w:style w:type="character" w:customStyle="1" w:styleId="llbChar">
    <w:name w:val="Élőláb Char"/>
    <w:basedOn w:val="Bekezdsalapbettpusa"/>
    <w:link w:val="llb"/>
    <w:uiPriority w:val="99"/>
    <w:rsid w:val="001919EB"/>
  </w:style>
  <w:style w:type="paragraph" w:styleId="Buborkszveg">
    <w:name w:val="Balloon Text"/>
    <w:basedOn w:val="Norml"/>
    <w:link w:val="BuborkszvegChar"/>
    <w:uiPriority w:val="99"/>
    <w:semiHidden/>
    <w:unhideWhenUsed/>
    <w:rsid w:val="003328E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28EE"/>
    <w:rPr>
      <w:rFonts w:ascii="Segoe UI" w:hAnsi="Segoe UI" w:cs="Segoe UI"/>
      <w:sz w:val="18"/>
      <w:szCs w:val="18"/>
    </w:rPr>
  </w:style>
  <w:style w:type="character" w:customStyle="1" w:styleId="Cmsor1Char">
    <w:name w:val="Címsor 1 Char"/>
    <w:basedOn w:val="Bekezdsalapbettpusa"/>
    <w:link w:val="Cmsor1"/>
    <w:uiPriority w:val="9"/>
    <w:rsid w:val="00245711"/>
    <w:rPr>
      <w:rFonts w:ascii="Arial Narrow" w:eastAsiaTheme="majorEastAsia" w:hAnsi="Arial Narrow" w:cstheme="majorBidi"/>
      <w:b/>
      <w:color w:val="002060"/>
      <w:szCs w:val="32"/>
    </w:rPr>
  </w:style>
  <w:style w:type="character" w:customStyle="1" w:styleId="Cmsor2Char">
    <w:name w:val="Címsor 2 Char"/>
    <w:basedOn w:val="Bekezdsalapbettpusa"/>
    <w:link w:val="Cmsor2"/>
    <w:uiPriority w:val="9"/>
    <w:rsid w:val="00245711"/>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245711"/>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semiHidden/>
    <w:rsid w:val="00245711"/>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245711"/>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uiPriority w:val="9"/>
    <w:semiHidden/>
    <w:rsid w:val="00245711"/>
    <w:rPr>
      <w:rFonts w:asciiTheme="majorHAnsi" w:eastAsiaTheme="majorEastAsia" w:hAnsiTheme="majorHAnsi" w:cstheme="majorBidi"/>
      <w:color w:val="1F4D78" w:themeColor="accent1" w:themeShade="7F"/>
    </w:rPr>
  </w:style>
  <w:style w:type="character" w:customStyle="1" w:styleId="Cmsor7Char">
    <w:name w:val="Címsor 7 Char"/>
    <w:basedOn w:val="Bekezdsalapbettpusa"/>
    <w:link w:val="Cmsor7"/>
    <w:uiPriority w:val="9"/>
    <w:semiHidden/>
    <w:rsid w:val="00245711"/>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semiHidden/>
    <w:rsid w:val="00245711"/>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24571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8081">
      <w:bodyDiv w:val="1"/>
      <w:marLeft w:val="0"/>
      <w:marRight w:val="0"/>
      <w:marTop w:val="0"/>
      <w:marBottom w:val="0"/>
      <w:divBdr>
        <w:top w:val="none" w:sz="0" w:space="0" w:color="auto"/>
        <w:left w:val="none" w:sz="0" w:space="0" w:color="auto"/>
        <w:bottom w:val="none" w:sz="0" w:space="0" w:color="auto"/>
        <w:right w:val="none" w:sz="0" w:space="0" w:color="auto"/>
      </w:divBdr>
    </w:div>
    <w:div w:id="354423285">
      <w:bodyDiv w:val="1"/>
      <w:marLeft w:val="0"/>
      <w:marRight w:val="0"/>
      <w:marTop w:val="0"/>
      <w:marBottom w:val="0"/>
      <w:divBdr>
        <w:top w:val="none" w:sz="0" w:space="0" w:color="auto"/>
        <w:left w:val="none" w:sz="0" w:space="0" w:color="auto"/>
        <w:bottom w:val="none" w:sz="0" w:space="0" w:color="auto"/>
        <w:right w:val="none" w:sz="0" w:space="0" w:color="auto"/>
      </w:divBdr>
    </w:div>
    <w:div w:id="394669635">
      <w:bodyDiv w:val="1"/>
      <w:marLeft w:val="0"/>
      <w:marRight w:val="0"/>
      <w:marTop w:val="0"/>
      <w:marBottom w:val="0"/>
      <w:divBdr>
        <w:top w:val="none" w:sz="0" w:space="0" w:color="auto"/>
        <w:left w:val="none" w:sz="0" w:space="0" w:color="auto"/>
        <w:bottom w:val="none" w:sz="0" w:space="0" w:color="auto"/>
        <w:right w:val="none" w:sz="0" w:space="0" w:color="auto"/>
      </w:divBdr>
    </w:div>
    <w:div w:id="477189338">
      <w:bodyDiv w:val="1"/>
      <w:marLeft w:val="0"/>
      <w:marRight w:val="0"/>
      <w:marTop w:val="0"/>
      <w:marBottom w:val="0"/>
      <w:divBdr>
        <w:top w:val="none" w:sz="0" w:space="0" w:color="auto"/>
        <w:left w:val="none" w:sz="0" w:space="0" w:color="auto"/>
        <w:bottom w:val="none" w:sz="0" w:space="0" w:color="auto"/>
        <w:right w:val="none" w:sz="0" w:space="0" w:color="auto"/>
      </w:divBdr>
    </w:div>
    <w:div w:id="527137101">
      <w:bodyDiv w:val="1"/>
      <w:marLeft w:val="0"/>
      <w:marRight w:val="0"/>
      <w:marTop w:val="0"/>
      <w:marBottom w:val="0"/>
      <w:divBdr>
        <w:top w:val="none" w:sz="0" w:space="0" w:color="auto"/>
        <w:left w:val="none" w:sz="0" w:space="0" w:color="auto"/>
        <w:bottom w:val="none" w:sz="0" w:space="0" w:color="auto"/>
        <w:right w:val="none" w:sz="0" w:space="0" w:color="auto"/>
      </w:divBdr>
    </w:div>
    <w:div w:id="662701577">
      <w:bodyDiv w:val="1"/>
      <w:marLeft w:val="0"/>
      <w:marRight w:val="0"/>
      <w:marTop w:val="0"/>
      <w:marBottom w:val="0"/>
      <w:divBdr>
        <w:top w:val="none" w:sz="0" w:space="0" w:color="auto"/>
        <w:left w:val="none" w:sz="0" w:space="0" w:color="auto"/>
        <w:bottom w:val="none" w:sz="0" w:space="0" w:color="auto"/>
        <w:right w:val="none" w:sz="0" w:space="0" w:color="auto"/>
      </w:divBdr>
    </w:div>
    <w:div w:id="1140879835">
      <w:bodyDiv w:val="1"/>
      <w:marLeft w:val="0"/>
      <w:marRight w:val="0"/>
      <w:marTop w:val="0"/>
      <w:marBottom w:val="0"/>
      <w:divBdr>
        <w:top w:val="none" w:sz="0" w:space="0" w:color="auto"/>
        <w:left w:val="none" w:sz="0" w:space="0" w:color="auto"/>
        <w:bottom w:val="none" w:sz="0" w:space="0" w:color="auto"/>
        <w:right w:val="none" w:sz="0" w:space="0" w:color="auto"/>
      </w:divBdr>
    </w:div>
    <w:div w:id="1424375149">
      <w:bodyDiv w:val="1"/>
      <w:marLeft w:val="0"/>
      <w:marRight w:val="0"/>
      <w:marTop w:val="0"/>
      <w:marBottom w:val="0"/>
      <w:divBdr>
        <w:top w:val="none" w:sz="0" w:space="0" w:color="auto"/>
        <w:left w:val="none" w:sz="0" w:space="0" w:color="auto"/>
        <w:bottom w:val="none" w:sz="0" w:space="0" w:color="auto"/>
        <w:right w:val="none" w:sz="0" w:space="0" w:color="auto"/>
      </w:divBdr>
    </w:div>
    <w:div w:id="1435664355">
      <w:bodyDiv w:val="1"/>
      <w:marLeft w:val="0"/>
      <w:marRight w:val="0"/>
      <w:marTop w:val="0"/>
      <w:marBottom w:val="0"/>
      <w:divBdr>
        <w:top w:val="none" w:sz="0" w:space="0" w:color="auto"/>
        <w:left w:val="none" w:sz="0" w:space="0" w:color="auto"/>
        <w:bottom w:val="none" w:sz="0" w:space="0" w:color="auto"/>
        <w:right w:val="none" w:sz="0" w:space="0" w:color="auto"/>
      </w:divBdr>
    </w:div>
    <w:div w:id="1632244801">
      <w:bodyDiv w:val="1"/>
      <w:marLeft w:val="0"/>
      <w:marRight w:val="0"/>
      <w:marTop w:val="0"/>
      <w:marBottom w:val="0"/>
      <w:divBdr>
        <w:top w:val="none" w:sz="0" w:space="0" w:color="auto"/>
        <w:left w:val="none" w:sz="0" w:space="0" w:color="auto"/>
        <w:bottom w:val="none" w:sz="0" w:space="0" w:color="auto"/>
        <w:right w:val="none" w:sz="0" w:space="0" w:color="auto"/>
      </w:divBdr>
    </w:div>
    <w:div w:id="1714887138">
      <w:bodyDiv w:val="1"/>
      <w:marLeft w:val="0"/>
      <w:marRight w:val="0"/>
      <w:marTop w:val="0"/>
      <w:marBottom w:val="0"/>
      <w:divBdr>
        <w:top w:val="none" w:sz="0" w:space="0" w:color="auto"/>
        <w:left w:val="none" w:sz="0" w:space="0" w:color="auto"/>
        <w:bottom w:val="none" w:sz="0" w:space="0" w:color="auto"/>
        <w:right w:val="none" w:sz="0" w:space="0" w:color="auto"/>
      </w:divBdr>
    </w:div>
    <w:div w:id="1833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Kiadás teljesítésének megoszlása 2021. év</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dLbl>
              <c:idx val="5"/>
              <c:layout>
                <c:manualLayout>
                  <c:x val="3.6446097200022988E-2"/>
                  <c:y val="0.1032031454235551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4.4722515111605528E-2"/>
                  <c:y val="0.10614110487185117"/>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hu-HU"/>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Munka1!$B$2:$B$8</c:f>
              <c:strCache>
                <c:ptCount val="7"/>
                <c:pt idx="0">
                  <c:v>Személyi juttatások </c:v>
                </c:pt>
                <c:pt idx="1">
                  <c:v>Munkaadókat terhelő járulékok és szociális hozzájárulási adó </c:v>
                </c:pt>
                <c:pt idx="2">
                  <c:v>Dologi kiadások </c:v>
                </c:pt>
                <c:pt idx="3">
                  <c:v>Ellátottak pénzbeli juttatásai </c:v>
                </c:pt>
                <c:pt idx="4">
                  <c:v>Egyéb működési célú kiadások </c:v>
                </c:pt>
                <c:pt idx="5">
                  <c:v>Beruházások </c:v>
                </c:pt>
                <c:pt idx="6">
                  <c:v>Felújítások </c:v>
                </c:pt>
              </c:strCache>
            </c:strRef>
          </c:cat>
          <c:val>
            <c:numRef>
              <c:f>Munka1!$C$2:$C$8</c:f>
              <c:numCache>
                <c:formatCode>#,##0</c:formatCode>
                <c:ptCount val="7"/>
                <c:pt idx="0">
                  <c:v>4029028135</c:v>
                </c:pt>
                <c:pt idx="1">
                  <c:v>633529639</c:v>
                </c:pt>
                <c:pt idx="2">
                  <c:v>1372242142</c:v>
                </c:pt>
                <c:pt idx="3">
                  <c:v>1040601425</c:v>
                </c:pt>
                <c:pt idx="4">
                  <c:v>3058821010</c:v>
                </c:pt>
                <c:pt idx="5">
                  <c:v>387793788</c:v>
                </c:pt>
                <c:pt idx="6">
                  <c:v>123656468</c:v>
                </c:pt>
              </c:numCache>
            </c:numRef>
          </c:val>
        </c:ser>
        <c:dLbls>
          <c:dLblPos val="in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b="1"/>
              <a:t>Bevétel</a:t>
            </a:r>
            <a:r>
              <a:rPr lang="hu-HU" b="1" baseline="0"/>
              <a:t> teljesítésének megoszlása 2021.</a:t>
            </a:r>
          </a:p>
          <a:p>
            <a:pPr>
              <a:defRPr/>
            </a:pPr>
            <a:endParaRPr lang="hu-HU"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dLbl>
              <c:idx val="0"/>
              <c:layout>
                <c:manualLayout>
                  <c:x val="-0.33384857581425076"/>
                  <c:y val="9.3127893896983813E-3"/>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u-HU"/>
                </a:p>
              </c:txPr>
              <c:dLblPos val="bestFit"/>
              <c:showLegendKey val="0"/>
              <c:showVal val="0"/>
              <c:showCatName val="1"/>
              <c:showSerName val="0"/>
              <c:showPercent val="1"/>
              <c:showBubbleSize val="0"/>
              <c:extLst>
                <c:ext xmlns:c15="http://schemas.microsoft.com/office/drawing/2012/chart" uri="{CE6537A1-D6FC-4f65-9D91-7224C49458BB}">
                  <c15:layout>
                    <c:manualLayout>
                      <c:w val="0.30928571553306333"/>
                      <c:h val="0.11842676642163916"/>
                    </c:manualLayout>
                  </c15:layout>
                </c:ext>
              </c:extLst>
            </c:dLbl>
            <c:dLbl>
              <c:idx val="1"/>
              <c:layout>
                <c:manualLayout>
                  <c:x val="-0.14106049607654667"/>
                  <c:y val="-2.1652260977637772E-3"/>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800" baseline="0">
                        <a:latin typeface="Times New Roman" panose="02020603050405020304" pitchFamily="18" charset="0"/>
                        <a:cs typeface="Times New Roman" panose="02020603050405020304" pitchFamily="18" charset="0"/>
                      </a:rPr>
                      <a:t>Felhalmozási célú támogatások áh-n belülről 
</a:t>
                    </a:r>
                    <a:fld id="{A2A20622-91C8-460A-837F-E1C5E949329A}" type="PERCENTAGE">
                      <a:rPr lang="en-US" sz="800" baseline="0">
                        <a:latin typeface="Times New Roman" panose="02020603050405020304" pitchFamily="18" charset="0"/>
                        <a:cs typeface="Times New Roman" panose="02020603050405020304" pitchFamily="18" charset="0"/>
                      </a:rPr>
                      <a:pPr>
                        <a:defRPr sz="800">
                          <a:latin typeface="Times New Roman" panose="02020603050405020304" pitchFamily="18" charset="0"/>
                          <a:cs typeface="Times New Roman" panose="02020603050405020304" pitchFamily="18" charset="0"/>
                        </a:defRPr>
                      </a:pPr>
                      <a:t>[SZÁZALÉK]</a:t>
                    </a:fld>
                    <a:endParaRPr lang="en-US" sz="8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u-HU"/>
                </a:p>
              </c:txPr>
              <c:dLblPos val="bestFit"/>
              <c:showLegendKey val="0"/>
              <c:showVal val="0"/>
              <c:showCatName val="1"/>
              <c:showSerName val="0"/>
              <c:showPercent val="1"/>
              <c:showBubbleSize val="0"/>
              <c:extLst>
                <c:ext xmlns:c15="http://schemas.microsoft.com/office/drawing/2012/chart" uri="{CE6537A1-D6FC-4f65-9D91-7224C49458BB}">
                  <c15:layout>
                    <c:manualLayout>
                      <c:w val="0.27949717363173909"/>
                      <c:h val="0.13203669308778263"/>
                    </c:manualLayout>
                  </c15:layout>
                  <c15:dlblFieldTable/>
                  <c15:showDataLabelsRange val="0"/>
                </c:ext>
              </c:extLst>
            </c:dLbl>
            <c:dLbl>
              <c:idx val="2"/>
              <c:layout>
                <c:manualLayout>
                  <c:x val="0.10835180033633504"/>
                  <c:y val="-9.5816220646837744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9.8535599716702074E-2"/>
                  <c:y val="-5.4176316195769646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9.7054272906505284E-2"/>
                  <c:y val="9.390759294623056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u-HU"/>
                </a:p>
              </c:txPr>
              <c:dLblPos val="bestFit"/>
              <c:showLegendKey val="0"/>
              <c:showVal val="0"/>
              <c:showCatName val="1"/>
              <c:showSerName val="0"/>
              <c:showPercent val="1"/>
              <c:showBubbleSize val="0"/>
              <c:extLst>
                <c:ext xmlns:c15="http://schemas.microsoft.com/office/drawing/2012/chart" uri="{CE6537A1-D6FC-4f65-9D91-7224C49458BB}">
                  <c15:layout>
                    <c:manualLayout>
                      <c:w val="0.14660669911271068"/>
                      <c:h val="0.17571059431524544"/>
                    </c:manualLayout>
                  </c15:layout>
                </c:ext>
              </c:extLst>
            </c:dLbl>
            <c:dLbl>
              <c:idx val="5"/>
              <c:layout>
                <c:manualLayout>
                  <c:x val="-1.1428571428571429E-2"/>
                  <c:y val="0.14250505572049396"/>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2.9064355977458912E-2"/>
                  <c:y val="3.7918806660795279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u-HU"/>
                </a:p>
              </c:txPr>
              <c:dLblPos val="bestFit"/>
              <c:showLegendKey val="0"/>
              <c:showVal val="0"/>
              <c:showCatName val="1"/>
              <c:showSerName val="0"/>
              <c:showPercent val="1"/>
              <c:showBubbleSize val="0"/>
              <c:extLst>
                <c:ext xmlns:c15="http://schemas.microsoft.com/office/drawing/2012/chart" uri="{CE6537A1-D6FC-4f65-9D91-7224C49458BB}">
                  <c15:layout>
                    <c:manualLayout>
                      <c:w val="0.12812153470836105"/>
                      <c:h val="0.22369878183831668"/>
                    </c:manualLayout>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u-HU"/>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Munka2!$A$1:$A$7</c:f>
              <c:strCache>
                <c:ptCount val="7"/>
                <c:pt idx="0">
                  <c:v>Működési célú támogatások államháztartáson belülről </c:v>
                </c:pt>
                <c:pt idx="1">
                  <c:v>Felhalmozási célú támogatások áh-n belülről </c:v>
                </c:pt>
                <c:pt idx="2">
                  <c:v>Működési bevételek </c:v>
                </c:pt>
                <c:pt idx="3">
                  <c:v>Felhalmozási bevételek </c:v>
                </c:pt>
                <c:pt idx="4">
                  <c:v>Működési célú átvett pénzeszközök </c:v>
                </c:pt>
                <c:pt idx="5">
                  <c:v>Előző év költségvetési maradványának igénybevétele</c:v>
                </c:pt>
                <c:pt idx="6">
                  <c:v>Központi, irányító szervi támogatás</c:v>
                </c:pt>
              </c:strCache>
            </c:strRef>
          </c:cat>
          <c:val>
            <c:numRef>
              <c:f>Munka2!$B$1:$B$7</c:f>
              <c:numCache>
                <c:formatCode>#,##0</c:formatCode>
                <c:ptCount val="7"/>
                <c:pt idx="0">
                  <c:v>336101997</c:v>
                </c:pt>
                <c:pt idx="1">
                  <c:v>67455459</c:v>
                </c:pt>
                <c:pt idx="2">
                  <c:v>1034411912</c:v>
                </c:pt>
                <c:pt idx="3">
                  <c:v>718797</c:v>
                </c:pt>
                <c:pt idx="4">
                  <c:v>90405455</c:v>
                </c:pt>
                <c:pt idx="5">
                  <c:v>3874624012</c:v>
                </c:pt>
                <c:pt idx="6">
                  <c:v>5212492333</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F3FDB16E0547968BDE5000A48B0CBD"/>
        <w:category>
          <w:name w:val="Általános"/>
          <w:gallery w:val="placeholder"/>
        </w:category>
        <w:types>
          <w:type w:val="bbPlcHdr"/>
        </w:types>
        <w:behaviors>
          <w:behavior w:val="content"/>
        </w:behaviors>
        <w:guid w:val="{5943C33A-B73C-4344-A982-0539E0912471}"/>
      </w:docPartPr>
      <w:docPartBody>
        <w:p w:rsidR="00302DE6" w:rsidRDefault="00580072" w:rsidP="00580072">
          <w:pPr>
            <w:pStyle w:val="C2F3FDB16E0547968BDE5000A48B0CBD"/>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72"/>
    <w:rsid w:val="002012CF"/>
    <w:rsid w:val="00302DE6"/>
    <w:rsid w:val="0032531B"/>
    <w:rsid w:val="004945F8"/>
    <w:rsid w:val="004B151E"/>
    <w:rsid w:val="00580072"/>
    <w:rsid w:val="00874BFF"/>
    <w:rsid w:val="00A640F8"/>
    <w:rsid w:val="00D01F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2F3FDB16E0547968BDE5000A48B0CBD">
    <w:name w:val="C2F3FDB16E0547968BDE5000A48B0CBD"/>
    <w:rsid w:val="00580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2227</Words>
  <Characters>15370</Characters>
  <Application>Microsoft Office Word</Application>
  <DocSecurity>4</DocSecurity>
  <Lines>128</Lines>
  <Paragraphs>35</Paragraphs>
  <ScaleCrop>false</ScaleCrop>
  <HeadingPairs>
    <vt:vector size="2" baseType="variant">
      <vt:variant>
        <vt:lpstr>Cím</vt:lpstr>
      </vt:variant>
      <vt:variant>
        <vt:i4>1</vt:i4>
      </vt:variant>
    </vt:vector>
  </HeadingPairs>
  <TitlesOfParts>
    <vt:vector size="1" baseType="lpstr">
      <vt:lpstr>Óbudai Egyetem 2021. évi költségvetési beszámolójának szöveges indoklása                 20. sz. melléklet</vt:lpstr>
    </vt:vector>
  </TitlesOfParts>
  <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Óbudai Egyetem 2021. évi költségvetési beszámolójának szöveges indoklása                 20. sz. melléklet</dc:title>
  <dc:subject/>
  <dc:creator>OE</dc:creator>
  <cp:keywords/>
  <dc:description/>
  <cp:lastModifiedBy>Windows-felhasználó</cp:lastModifiedBy>
  <cp:revision>2</cp:revision>
  <cp:lastPrinted>2021-03-12T10:21:00Z</cp:lastPrinted>
  <dcterms:created xsi:type="dcterms:W3CDTF">2021-10-26T09:56:00Z</dcterms:created>
  <dcterms:modified xsi:type="dcterms:W3CDTF">2021-10-26T09:56:00Z</dcterms:modified>
</cp:coreProperties>
</file>