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8B" w:rsidRPr="009F44B9" w:rsidRDefault="00C72B8B" w:rsidP="00C72B8B">
      <w:pPr>
        <w:pStyle w:val="Petercmsor2"/>
        <w:rPr>
          <w:rFonts w:cstheme="minorHAnsi"/>
          <w:sz w:val="22"/>
          <w:szCs w:val="22"/>
        </w:rPr>
      </w:pPr>
      <w:bookmarkStart w:id="0" w:name="_Toc500400377"/>
      <w:bookmarkStart w:id="1" w:name="_Toc503272271"/>
      <w:r w:rsidRPr="009F44B9">
        <w:rPr>
          <w:rFonts w:cstheme="minorHAnsi"/>
          <w:sz w:val="22"/>
          <w:szCs w:val="22"/>
        </w:rPr>
        <w:t>2. számú melléklet</w:t>
      </w:r>
      <w:bookmarkEnd w:id="0"/>
      <w:bookmarkEnd w:id="1"/>
    </w:p>
    <w:p w:rsidR="00C72B8B" w:rsidRPr="009F44B9" w:rsidRDefault="00C72B8B" w:rsidP="00C72B8B">
      <w:pPr>
        <w:pStyle w:val="Petercmsor2"/>
        <w:spacing w:after="480"/>
        <w:rPr>
          <w:rFonts w:cstheme="minorHAnsi"/>
          <w:sz w:val="22"/>
          <w:szCs w:val="22"/>
        </w:rPr>
      </w:pPr>
      <w:bookmarkStart w:id="2" w:name="_Toc500400378"/>
      <w:bookmarkStart w:id="3" w:name="_Toc503272272"/>
      <w:r w:rsidRPr="009F44B9">
        <w:rPr>
          <w:rFonts w:cstheme="minorHAnsi"/>
          <w:sz w:val="22"/>
          <w:szCs w:val="22"/>
        </w:rPr>
        <w:t>Jogszabályok</w:t>
      </w:r>
      <w:bookmarkEnd w:id="2"/>
      <w:bookmarkEnd w:id="3"/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ind w:right="3091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1991. évi XXXVIII. törvény </w:t>
      </w:r>
      <w:r w:rsidRPr="009F44B9">
        <w:rPr>
          <w:rStyle w:val="FontStyle23"/>
          <w:rFonts w:ascii="Arial Narrow" w:hAnsi="Arial Narrow" w:cstheme="minorHAnsi"/>
        </w:rPr>
        <w:t>a használati minták oltalmáról</w:t>
      </w:r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1991. évi XXXIX. törvény </w:t>
      </w:r>
      <w:r w:rsidRPr="009F44B9">
        <w:rPr>
          <w:rStyle w:val="FontStyle23"/>
          <w:rFonts w:ascii="Arial Narrow" w:hAnsi="Arial Narrow" w:cstheme="minorHAnsi"/>
        </w:rPr>
        <w:t>a mikroelektronikai félvezető termékek topográfiájának oltalmáról</w:t>
      </w:r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ind w:right="3091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1995. évi XXXIII. törvény </w:t>
      </w:r>
      <w:r w:rsidRPr="009F44B9">
        <w:rPr>
          <w:rStyle w:val="FontStyle23"/>
          <w:rFonts w:ascii="Arial Narrow" w:hAnsi="Arial Narrow" w:cstheme="minorHAnsi"/>
        </w:rPr>
        <w:t>a találmányok szabadalmi oltalmáról</w:t>
      </w:r>
    </w:p>
    <w:p w:rsidR="00C72B8B" w:rsidRPr="009F44B9" w:rsidRDefault="00C72B8B" w:rsidP="00C72B8B">
      <w:pPr>
        <w:pStyle w:val="Style9"/>
        <w:widowControl/>
        <w:tabs>
          <w:tab w:val="left" w:pos="605"/>
        </w:tabs>
        <w:spacing w:line="240" w:lineRule="auto"/>
        <w:rPr>
          <w:rStyle w:val="FontStyle23"/>
          <w:rFonts w:ascii="Arial Narrow" w:hAnsi="Arial Narrow" w:cstheme="minorHAnsi"/>
        </w:rPr>
      </w:pPr>
      <w:r w:rsidRPr="009F44B9">
        <w:rPr>
          <w:rFonts w:ascii="Arial Narrow" w:hAnsi="Arial Narrow" w:cstheme="minorHAnsi"/>
          <w:sz w:val="22"/>
          <w:szCs w:val="22"/>
        </w:rPr>
        <w:t>1997. évi XI. törvény a védjegyek és a földrajzi árujelzők oltalmáról</w:t>
      </w:r>
    </w:p>
    <w:p w:rsidR="00C72B8B" w:rsidRPr="009F44B9" w:rsidRDefault="00C72B8B" w:rsidP="00C72B8B">
      <w:pPr>
        <w:pStyle w:val="Style6"/>
        <w:widowControl/>
        <w:tabs>
          <w:tab w:val="left" w:pos="605"/>
        </w:tabs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1999. évi LXXVI. törvény </w:t>
      </w:r>
      <w:r w:rsidRPr="009F44B9">
        <w:rPr>
          <w:rStyle w:val="FontStyle23"/>
          <w:rFonts w:ascii="Arial Narrow" w:hAnsi="Arial Narrow" w:cstheme="minorHAnsi"/>
        </w:rPr>
        <w:t>a szerzői jogról</w:t>
      </w:r>
    </w:p>
    <w:p w:rsidR="00C72B8B" w:rsidRPr="009F44B9" w:rsidRDefault="00C72B8B" w:rsidP="00C72B8B">
      <w:pPr>
        <w:pStyle w:val="Style9"/>
        <w:widowControl/>
        <w:tabs>
          <w:tab w:val="left" w:pos="610"/>
        </w:tabs>
        <w:spacing w:before="5" w:line="240" w:lineRule="auto"/>
        <w:jc w:val="left"/>
        <w:rPr>
          <w:rStyle w:val="FontStyle22"/>
          <w:rFonts w:ascii="Arial Narrow" w:hAnsi="Arial Narrow" w:cstheme="minorHAnsi"/>
          <w:b w:val="0"/>
        </w:rPr>
      </w:pPr>
      <w:r w:rsidRPr="009F44B9">
        <w:rPr>
          <w:rStyle w:val="FontStyle22"/>
          <w:rFonts w:ascii="Arial Narrow" w:hAnsi="Arial Narrow" w:cstheme="minorHAnsi"/>
        </w:rPr>
        <w:t xml:space="preserve">2001. évi XLVIII. törvény </w:t>
      </w:r>
      <w:r w:rsidRPr="009F44B9">
        <w:rPr>
          <w:rStyle w:val="FontStyle23"/>
          <w:rFonts w:ascii="Arial Narrow" w:hAnsi="Arial Narrow" w:cstheme="minorHAnsi"/>
        </w:rPr>
        <w:t>a formatervezési minták oltalmáról</w:t>
      </w:r>
    </w:p>
    <w:p w:rsidR="00C72B8B" w:rsidRPr="009F44B9" w:rsidRDefault="00C72B8B" w:rsidP="00C72B8B">
      <w:pPr>
        <w:pStyle w:val="Style5"/>
        <w:widowControl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26/2004. (II. 26.) Korm. rendelet </w:t>
      </w:r>
      <w:r w:rsidRPr="009F44B9">
        <w:rPr>
          <w:rStyle w:val="FontStyle23"/>
          <w:rFonts w:ascii="Arial Narrow" w:hAnsi="Arial Narrow" w:cstheme="minorHAnsi"/>
        </w:rPr>
        <w:t>az egyes termékek kiegészítő oltalmára vonatkozó európai közösségi rendeletek végrehajtásához szükséges szabályokról</w:t>
      </w:r>
    </w:p>
    <w:p w:rsidR="00C72B8B" w:rsidRPr="009F44B9" w:rsidRDefault="00C72B8B" w:rsidP="00C72B8B">
      <w:pPr>
        <w:pStyle w:val="Style5"/>
        <w:widowControl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19/2005. (IV. 12.) GKM rendelet </w:t>
      </w:r>
      <w:r w:rsidRPr="009F44B9">
        <w:rPr>
          <w:rStyle w:val="FontStyle23"/>
          <w:rFonts w:ascii="Arial Narrow" w:hAnsi="Arial Narrow" w:cstheme="minorHAnsi"/>
        </w:rPr>
        <w:t>a Magyar Szabadalmi Hivatal előtti iparjogvédelmi eljárások igazgatási szolgáltatási díjairól</w:t>
      </w:r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ind w:right="3533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3"/>
          <w:rFonts w:ascii="Arial Narrow" w:hAnsi="Arial Narrow" w:cstheme="minorHAnsi"/>
        </w:rPr>
        <w:t>2011. évi CCIV. törvény a nemzeti felsőoktatásról</w:t>
      </w:r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2"/>
          <w:rFonts w:ascii="Arial Narrow" w:hAnsi="Arial Narrow" w:cstheme="minorHAnsi"/>
        </w:rPr>
        <w:t xml:space="preserve">2011. évi CXCV. törvény </w:t>
      </w:r>
      <w:r w:rsidRPr="009F44B9">
        <w:rPr>
          <w:rStyle w:val="FontStyle23"/>
          <w:rFonts w:ascii="Arial Narrow" w:hAnsi="Arial Narrow" w:cstheme="minorHAnsi"/>
        </w:rPr>
        <w:t>az államháztartásról</w:t>
      </w:r>
    </w:p>
    <w:p w:rsidR="00C72B8B" w:rsidRPr="009F44B9" w:rsidRDefault="00C72B8B" w:rsidP="00C72B8B">
      <w:pPr>
        <w:pStyle w:val="Style6"/>
        <w:widowControl/>
        <w:tabs>
          <w:tab w:val="left" w:pos="605"/>
        </w:tabs>
        <w:rPr>
          <w:rStyle w:val="FontStyle23"/>
          <w:rFonts w:ascii="Arial Narrow" w:hAnsi="Arial Narrow" w:cstheme="minorHAnsi"/>
        </w:rPr>
      </w:pPr>
      <w:r w:rsidRPr="009F44B9">
        <w:rPr>
          <w:rStyle w:val="FontStyle23"/>
          <w:rFonts w:ascii="Arial Narrow" w:hAnsi="Arial Narrow" w:cstheme="minorHAnsi"/>
        </w:rPr>
        <w:t>2012. évi C. törvény a Büntető Törvénykönyvről</w:t>
      </w:r>
    </w:p>
    <w:p w:rsidR="00C72B8B" w:rsidRPr="009F44B9" w:rsidRDefault="00C72B8B" w:rsidP="00C72B8B">
      <w:pPr>
        <w:pStyle w:val="Style9"/>
        <w:widowControl/>
        <w:tabs>
          <w:tab w:val="left" w:pos="590"/>
        </w:tabs>
        <w:spacing w:line="240" w:lineRule="auto"/>
        <w:ind w:right="3533"/>
        <w:jc w:val="left"/>
        <w:rPr>
          <w:rStyle w:val="FontStyle23"/>
          <w:rFonts w:ascii="Arial Narrow" w:hAnsi="Arial Narrow" w:cstheme="minorHAnsi"/>
        </w:rPr>
      </w:pPr>
      <w:r w:rsidRPr="009F44B9">
        <w:rPr>
          <w:rStyle w:val="FontStyle23"/>
          <w:rFonts w:ascii="Arial Narrow" w:hAnsi="Arial Narrow" w:cstheme="minorHAnsi"/>
        </w:rPr>
        <w:t>2013. évi V. törvény a Polgári Törvénykönyvről</w:t>
      </w:r>
    </w:p>
    <w:p w:rsidR="00C72B8B" w:rsidRPr="009F44B9" w:rsidRDefault="00C72B8B" w:rsidP="00C72B8B">
      <w:pPr>
        <w:pStyle w:val="Style6"/>
        <w:widowControl/>
        <w:tabs>
          <w:tab w:val="left" w:pos="605"/>
        </w:tabs>
        <w:rPr>
          <w:rFonts w:ascii="Arial Narrow" w:hAnsi="Arial Narrow" w:cstheme="minorHAnsi"/>
          <w:sz w:val="22"/>
          <w:szCs w:val="22"/>
        </w:rPr>
      </w:pPr>
      <w:r w:rsidRPr="009F44B9">
        <w:rPr>
          <w:rStyle w:val="FontStyle23"/>
          <w:rFonts w:ascii="Arial Narrow" w:hAnsi="Arial Narrow" w:cstheme="minorHAnsi"/>
        </w:rPr>
        <w:t>2014. évi LXXVI. törvény a tudományos kutatásról, fejlesztésről és innovációról</w:t>
      </w:r>
    </w:p>
    <w:p w:rsidR="00866CEB" w:rsidRDefault="00866CEB">
      <w:bookmarkStart w:id="4" w:name="_GoBack"/>
      <w:bookmarkEnd w:id="4"/>
    </w:p>
    <w:sectPr w:rsidR="00866CEB" w:rsidSect="009F44B9">
      <w:pgSz w:w="11907" w:h="16840" w:code="9"/>
      <w:pgMar w:top="720" w:right="720" w:bottom="720" w:left="720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8B"/>
    <w:rsid w:val="00866CEB"/>
    <w:rsid w:val="00C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7738-0069-4D87-863E-8C38E1B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etercmsor2">
    <w:name w:val="Peter címsor 2"/>
    <w:basedOn w:val="Cmsor2"/>
    <w:link w:val="Petercmsor2Char"/>
    <w:qFormat/>
    <w:rsid w:val="00C72B8B"/>
    <w:pPr>
      <w:keepNext w:val="0"/>
      <w:keepLines w:val="0"/>
      <w:spacing w:before="120" w:line="240" w:lineRule="auto"/>
      <w:ind w:right="-198"/>
      <w:jc w:val="center"/>
    </w:pPr>
    <w:rPr>
      <w:rFonts w:ascii="Arial Narrow" w:eastAsia="Times New Roman" w:hAnsi="Arial Narrow" w:cs="Times New Roman"/>
      <w:b/>
      <w:sz w:val="24"/>
      <w:szCs w:val="24"/>
      <w:lang w:val="da-DK" w:eastAsia="hu-HU"/>
    </w:rPr>
  </w:style>
  <w:style w:type="character" w:customStyle="1" w:styleId="Petercmsor2Char">
    <w:name w:val="Peter címsor 2 Char"/>
    <w:basedOn w:val="Cmsor2Char"/>
    <w:link w:val="Petercmsor2"/>
    <w:rsid w:val="00C72B8B"/>
    <w:rPr>
      <w:rFonts w:ascii="Arial Narrow" w:eastAsia="Times New Roman" w:hAnsi="Arial Narrow" w:cs="Times New Roman"/>
      <w:b/>
      <w:color w:val="2E74B5" w:themeColor="accent1" w:themeShade="BF"/>
      <w:sz w:val="24"/>
      <w:szCs w:val="24"/>
      <w:lang w:val="da-DK" w:eastAsia="hu-HU"/>
    </w:rPr>
  </w:style>
  <w:style w:type="paragraph" w:customStyle="1" w:styleId="Style5">
    <w:name w:val="Style5"/>
    <w:basedOn w:val="Norml"/>
    <w:rsid w:val="00C72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6">
    <w:name w:val="Style6"/>
    <w:basedOn w:val="Norml"/>
    <w:rsid w:val="00C72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9">
    <w:name w:val="Style9"/>
    <w:basedOn w:val="Norml"/>
    <w:rsid w:val="00C72B8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22">
    <w:name w:val="Font Style22"/>
    <w:rsid w:val="00C72B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C72B8B"/>
    <w:rPr>
      <w:rFonts w:ascii="Times New Roman" w:hAnsi="Times New Roman" w:cs="Times New Roman"/>
      <w:sz w:val="22"/>
      <w:szCs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bocsora</dc:creator>
  <cp:keywords/>
  <dc:description/>
  <cp:lastModifiedBy>bocsora</cp:lastModifiedBy>
  <cp:revision>1</cp:revision>
  <dcterms:created xsi:type="dcterms:W3CDTF">2018-02-06T14:50:00Z</dcterms:created>
  <dcterms:modified xsi:type="dcterms:W3CDTF">2018-02-06T14:50:00Z</dcterms:modified>
</cp:coreProperties>
</file>